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7324C" w14:textId="77777777" w:rsidR="00F40465" w:rsidRPr="002D1F76" w:rsidRDefault="00000000" w:rsidP="00712D57">
      <w:pPr>
        <w:pStyle w:val="GvdeMetni"/>
      </w:pPr>
      <w:r w:rsidRPr="002D1F76">
        <w:rPr>
          <w:noProof/>
        </w:rPr>
        <mc:AlternateContent>
          <mc:Choice Requires="wpg">
            <w:drawing>
              <wp:inline distT="0" distB="0" distL="0" distR="0" wp14:anchorId="690F11A6" wp14:editId="7926113D">
                <wp:extent cx="6400800" cy="158750"/>
                <wp:effectExtent l="0"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58750"/>
                          <a:chOff x="0" y="0"/>
                          <a:chExt cx="6400800" cy="158750"/>
                        </a:xfrm>
                      </wpg:grpSpPr>
                      <wps:wsp>
                        <wps:cNvPr id="2" name="Graphic 2"/>
                        <wps:cNvSpPr/>
                        <wps:spPr>
                          <a:xfrm>
                            <a:off x="0" y="0"/>
                            <a:ext cx="6400800" cy="158750"/>
                          </a:xfrm>
                          <a:custGeom>
                            <a:avLst/>
                            <a:gdLst/>
                            <a:ahLst/>
                            <a:cxnLst/>
                            <a:rect l="l" t="t" r="r" b="b"/>
                            <a:pathLst>
                              <a:path w="6400800" h="158750">
                                <a:moveTo>
                                  <a:pt x="6400800" y="151917"/>
                                </a:moveTo>
                                <a:lnTo>
                                  <a:pt x="2083676" y="151917"/>
                                </a:lnTo>
                                <a:lnTo>
                                  <a:pt x="2083676" y="0"/>
                                </a:lnTo>
                                <a:lnTo>
                                  <a:pt x="2077186" y="0"/>
                                </a:lnTo>
                                <a:lnTo>
                                  <a:pt x="2077186" y="151917"/>
                                </a:lnTo>
                                <a:lnTo>
                                  <a:pt x="967689" y="151917"/>
                                </a:lnTo>
                                <a:lnTo>
                                  <a:pt x="967689" y="0"/>
                                </a:lnTo>
                                <a:lnTo>
                                  <a:pt x="961923" y="0"/>
                                </a:lnTo>
                                <a:lnTo>
                                  <a:pt x="961923" y="151917"/>
                                </a:lnTo>
                                <a:lnTo>
                                  <a:pt x="0" y="151917"/>
                                </a:lnTo>
                                <a:lnTo>
                                  <a:pt x="0" y="158394"/>
                                </a:lnTo>
                                <a:lnTo>
                                  <a:pt x="6400800" y="158394"/>
                                </a:lnTo>
                                <a:lnTo>
                                  <a:pt x="6400800" y="151917"/>
                                </a:lnTo>
                                <a:close/>
                              </a:path>
                            </a:pathLst>
                          </a:custGeom>
                          <a:solidFill>
                            <a:srgbClr val="231F20"/>
                          </a:solidFill>
                        </wps:spPr>
                        <wps:bodyPr wrap="square" lIns="0" tIns="0" rIns="0" bIns="0" rtlCol="0">
                          <a:prstTxWarp prst="textNoShape">
                            <a:avLst/>
                          </a:prstTxWarp>
                          <a:noAutofit/>
                        </wps:bodyPr>
                      </wps:wsp>
                      <wps:wsp>
                        <wps:cNvPr id="3" name="Textbox 3"/>
                        <wps:cNvSpPr txBox="1"/>
                        <wps:spPr>
                          <a:xfrm>
                            <a:off x="0" y="0"/>
                            <a:ext cx="6400800" cy="158750"/>
                          </a:xfrm>
                          <a:prstGeom prst="rect">
                            <a:avLst/>
                          </a:prstGeom>
                        </wps:spPr>
                        <wps:txbx>
                          <w:txbxContent>
                            <w:p w14:paraId="3E486360" w14:textId="03E381AB" w:rsidR="00F40465" w:rsidRPr="00CD629D" w:rsidRDefault="000358FE" w:rsidP="00C63535">
                              <w:pPr>
                                <w:tabs>
                                  <w:tab w:val="left" w:pos="1664"/>
                                  <w:tab w:val="left" w:pos="3420"/>
                                </w:tabs>
                                <w:spacing w:before="29"/>
                                <w:ind w:left="-1" w:right="1291"/>
                                <w:rPr>
                                  <w:sz w:val="14"/>
                                </w:rPr>
                              </w:pPr>
                              <w:r w:rsidRPr="00CD629D">
                                <w:rPr>
                                  <w:sz w:val="14"/>
                                </w:rPr>
                                <w:t>Geliş:</w:t>
                              </w:r>
                              <w:r w:rsidRPr="00CD629D">
                                <w:rPr>
                                  <w:spacing w:val="10"/>
                                  <w:sz w:val="14"/>
                                </w:rPr>
                                <w:t xml:space="preserve"> </w:t>
                              </w:r>
                              <w:r w:rsidR="007B7574">
                                <w:rPr>
                                  <w:sz w:val="14"/>
                                </w:rPr>
                                <w:t>24</w:t>
                              </w:r>
                              <w:r w:rsidRPr="00CD629D">
                                <w:rPr>
                                  <w:spacing w:val="11"/>
                                  <w:sz w:val="14"/>
                                </w:rPr>
                                <w:t xml:space="preserve"> </w:t>
                              </w:r>
                              <w:r w:rsidR="00B30069" w:rsidRPr="00CD629D">
                                <w:rPr>
                                  <w:sz w:val="14"/>
                                </w:rPr>
                                <w:t xml:space="preserve">Eylül </w:t>
                              </w:r>
                              <w:r w:rsidRPr="00CD629D">
                                <w:rPr>
                                  <w:spacing w:val="-4"/>
                                  <w:sz w:val="14"/>
                                </w:rPr>
                                <w:t>2024</w:t>
                              </w:r>
                              <w:r w:rsidRPr="00CD629D">
                                <w:rPr>
                                  <w:sz w:val="14"/>
                                </w:rPr>
                                <w:tab/>
                                <w:t>Revize:</w:t>
                              </w:r>
                              <w:r w:rsidRPr="00CD629D">
                                <w:rPr>
                                  <w:spacing w:val="16"/>
                                  <w:sz w:val="14"/>
                                </w:rPr>
                                <w:t xml:space="preserve"> </w:t>
                              </w:r>
                              <w:r w:rsidR="00DE3837">
                                <w:rPr>
                                  <w:sz w:val="14"/>
                                </w:rPr>
                                <w:t>3</w:t>
                              </w:r>
                              <w:r w:rsidRPr="00CD629D">
                                <w:rPr>
                                  <w:spacing w:val="15"/>
                                  <w:sz w:val="14"/>
                                </w:rPr>
                                <w:t xml:space="preserve"> </w:t>
                              </w:r>
                              <w:r w:rsidR="00952267" w:rsidRPr="00CD629D">
                                <w:rPr>
                                  <w:sz w:val="14"/>
                                </w:rPr>
                                <w:t xml:space="preserve">Ekim </w:t>
                              </w:r>
                              <w:r w:rsidRPr="00CD629D">
                                <w:rPr>
                                  <w:spacing w:val="-4"/>
                                  <w:sz w:val="14"/>
                                </w:rPr>
                                <w:t>2024</w:t>
                              </w:r>
                              <w:r w:rsidRPr="00CD629D">
                                <w:rPr>
                                  <w:sz w:val="14"/>
                                </w:rPr>
                                <w:tab/>
                                <w:t>Kabul:</w:t>
                              </w:r>
                              <w:r w:rsidRPr="00CD629D">
                                <w:rPr>
                                  <w:spacing w:val="21"/>
                                  <w:sz w:val="14"/>
                                </w:rPr>
                                <w:t xml:space="preserve"> </w:t>
                              </w:r>
                              <w:r w:rsidR="00DE3837">
                                <w:rPr>
                                  <w:spacing w:val="21"/>
                                  <w:sz w:val="14"/>
                                </w:rPr>
                                <w:t>7</w:t>
                              </w:r>
                              <w:r w:rsidR="00952267" w:rsidRPr="00CD629D">
                                <w:rPr>
                                  <w:sz w:val="14"/>
                                </w:rPr>
                                <w:t xml:space="preserve">Ekim </w:t>
                              </w:r>
                              <w:r w:rsidRPr="00CD629D">
                                <w:rPr>
                                  <w:spacing w:val="-4"/>
                                  <w:sz w:val="14"/>
                                </w:rPr>
                                <w:t>2024</w:t>
                              </w:r>
                              <w:r w:rsidR="00F42244" w:rsidRPr="00CD629D">
                                <w:rPr>
                                  <w:spacing w:val="-4"/>
                                  <w:sz w:val="14"/>
                                </w:rPr>
                                <w:tab/>
                              </w:r>
                              <w:r w:rsidR="00F42244" w:rsidRPr="00CD629D">
                                <w:rPr>
                                  <w:spacing w:val="-4"/>
                                  <w:sz w:val="14"/>
                                </w:rPr>
                                <w:tab/>
                              </w:r>
                              <w:r w:rsidR="00F42244" w:rsidRPr="00CD629D">
                                <w:rPr>
                                  <w:spacing w:val="-4"/>
                                  <w:sz w:val="14"/>
                                </w:rPr>
                                <w:tab/>
                              </w:r>
                              <w:r w:rsidR="00952267" w:rsidRPr="00CD629D">
                                <w:rPr>
                                  <w:spacing w:val="-4"/>
                                  <w:sz w:val="14"/>
                                </w:rPr>
                                <w:t xml:space="preserve">                 </w:t>
                              </w:r>
                              <w:r w:rsidR="00F42244" w:rsidRPr="00CD629D">
                                <w:rPr>
                                  <w:spacing w:val="-4"/>
                                  <w:sz w:val="14"/>
                                </w:rPr>
                                <w:t>4 EYLÜL AKADEMİ DERGİSİ</w:t>
                              </w:r>
                            </w:p>
                          </w:txbxContent>
                        </wps:txbx>
                        <wps:bodyPr wrap="square" lIns="0" tIns="0" rIns="0" bIns="0" rtlCol="0">
                          <a:noAutofit/>
                        </wps:bodyPr>
                      </wps:wsp>
                    </wpg:wgp>
                  </a:graphicData>
                </a:graphic>
              </wp:inline>
            </w:drawing>
          </mc:Choice>
          <mc:Fallback>
            <w:pict>
              <v:group w14:anchorId="690F11A6" id="Group 1" o:spid="_x0000_s1026" style="width:7in;height:12.5pt;mso-position-horizontal-relative:char;mso-position-vertical-relative:line" coordsize="64008,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">
                <v:shape id="Graphic 2" o:spid="_x0000_s1027" style="position:absolute;width:64008;height:1587;visibility:visible;mso-wrap-style:square;v-text-anchor:top" coordsize="640080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" path="m6400800,151917r-4317124,l2083676,r-6490,l2077186,151917r-1109497,l967689,r-5766,l961923,151917,,151917r,6477l6400800,158394r,-6477xe" fillcolor="#231f20" stroked="f">
                  <v:path arrowok="t"/>
                </v:shape>
                <v:shapetype id="_x0000_t202" coordsize="21600,21600" o:spt="202" path="m,l,21600r21600,l21600,xe">
                  <v:stroke joinstyle="miter"/>
                  <v:path gradientshapeok="t" o:connecttype="rect"/>
                </v:shapetype>
                <v:shape id="Textbox 3" o:spid="_x0000_s1028" type="#_x0000_t202" style="position:absolute;width:6400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E486360" w14:textId="03E381AB" w:rsidR="00F40465" w:rsidRPr="00CD629D" w:rsidRDefault="000358FE" w:rsidP="00C63535">
                        <w:pPr>
                          <w:tabs>
                            <w:tab w:val="left" w:pos="1664"/>
                            <w:tab w:val="left" w:pos="3420"/>
                          </w:tabs>
                          <w:spacing w:before="29"/>
                          <w:ind w:left="-1" w:right="1291"/>
                          <w:rPr>
                            <w:sz w:val="14"/>
                          </w:rPr>
                        </w:pPr>
                        <w:r w:rsidRPr="00CD629D">
                          <w:rPr>
                            <w:sz w:val="14"/>
                          </w:rPr>
                          <w:t>Geliş:</w:t>
                        </w:r>
                        <w:r w:rsidRPr="00CD629D">
                          <w:rPr>
                            <w:spacing w:val="10"/>
                            <w:sz w:val="14"/>
                          </w:rPr>
                          <w:t xml:space="preserve"> </w:t>
                        </w:r>
                        <w:r w:rsidR="007B7574">
                          <w:rPr>
                            <w:sz w:val="14"/>
                          </w:rPr>
                          <w:t>24</w:t>
                        </w:r>
                        <w:r w:rsidRPr="00CD629D">
                          <w:rPr>
                            <w:spacing w:val="11"/>
                            <w:sz w:val="14"/>
                          </w:rPr>
                          <w:t xml:space="preserve"> </w:t>
                        </w:r>
                        <w:r w:rsidR="00B30069" w:rsidRPr="00CD629D">
                          <w:rPr>
                            <w:sz w:val="14"/>
                          </w:rPr>
                          <w:t xml:space="preserve">Eylül </w:t>
                        </w:r>
                        <w:r w:rsidRPr="00CD629D">
                          <w:rPr>
                            <w:spacing w:val="-4"/>
                            <w:sz w:val="14"/>
                          </w:rPr>
                          <w:t>2024</w:t>
                        </w:r>
                        <w:r w:rsidRPr="00CD629D">
                          <w:rPr>
                            <w:sz w:val="14"/>
                          </w:rPr>
                          <w:tab/>
                          <w:t>Revize:</w:t>
                        </w:r>
                        <w:r w:rsidRPr="00CD629D">
                          <w:rPr>
                            <w:spacing w:val="16"/>
                            <w:sz w:val="14"/>
                          </w:rPr>
                          <w:t xml:space="preserve"> </w:t>
                        </w:r>
                        <w:r w:rsidR="00DE3837">
                          <w:rPr>
                            <w:sz w:val="14"/>
                          </w:rPr>
                          <w:t>3</w:t>
                        </w:r>
                        <w:r w:rsidRPr="00CD629D">
                          <w:rPr>
                            <w:spacing w:val="15"/>
                            <w:sz w:val="14"/>
                          </w:rPr>
                          <w:t xml:space="preserve"> </w:t>
                        </w:r>
                        <w:r w:rsidR="00952267" w:rsidRPr="00CD629D">
                          <w:rPr>
                            <w:sz w:val="14"/>
                          </w:rPr>
                          <w:t xml:space="preserve">Ekim </w:t>
                        </w:r>
                        <w:r w:rsidRPr="00CD629D">
                          <w:rPr>
                            <w:spacing w:val="-4"/>
                            <w:sz w:val="14"/>
                          </w:rPr>
                          <w:t>2024</w:t>
                        </w:r>
                        <w:r w:rsidRPr="00CD629D">
                          <w:rPr>
                            <w:sz w:val="14"/>
                          </w:rPr>
                          <w:tab/>
                          <w:t>Kabul:</w:t>
                        </w:r>
                        <w:r w:rsidRPr="00CD629D">
                          <w:rPr>
                            <w:spacing w:val="21"/>
                            <w:sz w:val="14"/>
                          </w:rPr>
                          <w:t xml:space="preserve"> </w:t>
                        </w:r>
                        <w:r w:rsidR="00DE3837">
                          <w:rPr>
                            <w:spacing w:val="21"/>
                            <w:sz w:val="14"/>
                          </w:rPr>
                          <w:t>7</w:t>
                        </w:r>
                        <w:r w:rsidR="00952267" w:rsidRPr="00CD629D">
                          <w:rPr>
                            <w:sz w:val="14"/>
                          </w:rPr>
                          <w:t xml:space="preserve">Ekim </w:t>
                        </w:r>
                        <w:r w:rsidRPr="00CD629D">
                          <w:rPr>
                            <w:spacing w:val="-4"/>
                            <w:sz w:val="14"/>
                          </w:rPr>
                          <w:t>2024</w:t>
                        </w:r>
                        <w:r w:rsidR="00F42244" w:rsidRPr="00CD629D">
                          <w:rPr>
                            <w:spacing w:val="-4"/>
                            <w:sz w:val="14"/>
                          </w:rPr>
                          <w:tab/>
                        </w:r>
                        <w:r w:rsidR="00F42244" w:rsidRPr="00CD629D">
                          <w:rPr>
                            <w:spacing w:val="-4"/>
                            <w:sz w:val="14"/>
                          </w:rPr>
                          <w:tab/>
                        </w:r>
                        <w:r w:rsidR="00F42244" w:rsidRPr="00CD629D">
                          <w:rPr>
                            <w:spacing w:val="-4"/>
                            <w:sz w:val="14"/>
                          </w:rPr>
                          <w:tab/>
                        </w:r>
                        <w:r w:rsidR="00952267" w:rsidRPr="00CD629D">
                          <w:rPr>
                            <w:spacing w:val="-4"/>
                            <w:sz w:val="14"/>
                          </w:rPr>
                          <w:t xml:space="preserve">                 </w:t>
                        </w:r>
                        <w:r w:rsidR="00F42244" w:rsidRPr="00CD629D">
                          <w:rPr>
                            <w:spacing w:val="-4"/>
                            <w:sz w:val="14"/>
                          </w:rPr>
                          <w:t>4 EYLÜL AKADEMİ DERGİSİ</w:t>
                        </w:r>
                      </w:p>
                    </w:txbxContent>
                  </v:textbox>
                </v:shape>
                <w10:anchorlock/>
              </v:group>
            </w:pict>
          </mc:Fallback>
        </mc:AlternateContent>
      </w:r>
    </w:p>
    <w:p w14:paraId="09F1886C" w14:textId="4845F746" w:rsidR="00F40465" w:rsidRPr="00CD629D" w:rsidRDefault="000358FE" w:rsidP="00712D57">
      <w:pPr>
        <w:spacing w:before="19"/>
        <w:rPr>
          <w:sz w:val="14"/>
        </w:rPr>
      </w:pPr>
      <w:r w:rsidRPr="002D1F76">
        <w:rPr>
          <w:sz w:val="14"/>
        </w:rPr>
        <w:t xml:space="preserve">ISSN: </w:t>
      </w:r>
      <w:r w:rsidR="00AE6AA2" w:rsidRPr="002D1F76">
        <w:rPr>
          <w:sz w:val="14"/>
        </w:rPr>
        <w:t>3023-8277</w:t>
      </w:r>
    </w:p>
    <w:p w14:paraId="120B3FA0" w14:textId="306B05D6" w:rsidR="00F40465" w:rsidRPr="00CD629D" w:rsidRDefault="00F40465">
      <w:pPr>
        <w:pStyle w:val="GvdeMetni"/>
        <w:spacing w:before="149"/>
        <w:rPr>
          <w:sz w:val="18"/>
        </w:rPr>
      </w:pPr>
    </w:p>
    <w:p w14:paraId="54948CEE" w14:textId="5B40771E" w:rsidR="00F40465" w:rsidRPr="00880794" w:rsidRDefault="00F77A51" w:rsidP="00C63535">
      <w:pPr>
        <w:rPr>
          <w:sz w:val="20"/>
          <w:szCs w:val="24"/>
        </w:rPr>
      </w:pPr>
      <w:r w:rsidRPr="00880794">
        <w:rPr>
          <w:noProof/>
          <w:sz w:val="24"/>
          <w:szCs w:val="24"/>
        </w:rPr>
        <mc:AlternateContent>
          <mc:Choice Requires="wps">
            <w:drawing>
              <wp:anchor distT="0" distB="0" distL="0" distR="0" simplePos="0" relativeHeight="251750400" behindDoc="1" locked="0" layoutInCell="1" allowOverlap="1" wp14:anchorId="628F8561" wp14:editId="57E33B4D">
                <wp:simplePos x="0" y="0"/>
                <wp:positionH relativeFrom="page">
                  <wp:posOffset>929640</wp:posOffset>
                </wp:positionH>
                <wp:positionV relativeFrom="paragraph">
                  <wp:posOffset>152400</wp:posOffset>
                </wp:positionV>
                <wp:extent cx="1760220" cy="4508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0220" cy="45085"/>
                        </a:xfrm>
                        <a:custGeom>
                          <a:avLst/>
                          <a:gdLst/>
                          <a:ahLst/>
                          <a:cxnLst/>
                          <a:rect l="l" t="t" r="r" b="b"/>
                          <a:pathLst>
                            <a:path w="1510030" h="13335">
                              <a:moveTo>
                                <a:pt x="1509839" y="0"/>
                              </a:moveTo>
                              <a:lnTo>
                                <a:pt x="0" y="0"/>
                              </a:lnTo>
                              <a:lnTo>
                                <a:pt x="0" y="12953"/>
                              </a:lnTo>
                              <a:lnTo>
                                <a:pt x="1509839" y="12953"/>
                              </a:lnTo>
                              <a:lnTo>
                                <a:pt x="1509839"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3FD93" id="Graphic 4" o:spid="_x0000_s1026" style="position:absolute;margin-left:73.2pt;margin-top:12pt;width:138.6pt;height:3.55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510030,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" path="m1509839,l,,,12953r1509839,l1509839,xe" fillcolor="black" stroked="f">
                <v:path arrowok="t"/>
                <w10:wrap type="topAndBottom" anchorx="page"/>
              </v:shape>
            </w:pict>
          </mc:Fallback>
        </mc:AlternateContent>
      </w:r>
      <w:r w:rsidR="00880794">
        <w:rPr>
          <w:spacing w:val="27"/>
          <w:w w:val="105"/>
          <w:sz w:val="20"/>
          <w:szCs w:val="24"/>
        </w:rPr>
        <w:t>ARAŞTIRMA MAKALESİ</w:t>
      </w:r>
    </w:p>
    <w:p w14:paraId="45711E9F" w14:textId="77777777" w:rsidR="00AB117D" w:rsidRPr="00CD629D" w:rsidRDefault="00AB117D" w:rsidP="00D96970">
      <w:pPr>
        <w:pStyle w:val="KonuBal"/>
        <w:spacing w:line="266" w:lineRule="auto"/>
        <w:ind w:left="0" w:right="4"/>
        <w:jc w:val="both"/>
        <w:rPr>
          <w:color w:val="FFFFFF" w:themeColor="background1"/>
          <w:w w:val="115"/>
        </w:rPr>
      </w:pPr>
    </w:p>
    <w:p w14:paraId="4830E2C9" w14:textId="49548B7B" w:rsidR="00DA4C81" w:rsidRPr="00CD629D" w:rsidRDefault="00BB293F" w:rsidP="00D96970">
      <w:pPr>
        <w:pStyle w:val="KonuBal"/>
        <w:spacing w:line="266" w:lineRule="auto"/>
        <w:ind w:left="0" w:right="4"/>
        <w:jc w:val="both"/>
        <w:rPr>
          <w:w w:val="115"/>
        </w:rPr>
      </w:pPr>
      <w:bookmarkStart w:id="0" w:name="_Hlk178511350"/>
      <w:r>
        <w:rPr>
          <w:w w:val="115"/>
        </w:rPr>
        <w:t>Bankacılık Sektöründe Performans Analizi: Türk B</w:t>
      </w:r>
      <w:r w:rsidR="00FF27DB">
        <w:rPr>
          <w:w w:val="115"/>
        </w:rPr>
        <w:t>an</w:t>
      </w:r>
      <w:r>
        <w:rPr>
          <w:w w:val="115"/>
        </w:rPr>
        <w:t xml:space="preserve">kalarından Kanıtlar </w:t>
      </w:r>
    </w:p>
    <w:bookmarkEnd w:id="0"/>
    <w:p w14:paraId="3D836B4A" w14:textId="411B56D3" w:rsidR="00DF2EAA" w:rsidRPr="00CD629D" w:rsidRDefault="004F05FF" w:rsidP="00D96970">
      <w:pPr>
        <w:pStyle w:val="KonuBal"/>
        <w:spacing w:line="266" w:lineRule="auto"/>
        <w:ind w:left="0" w:right="4"/>
        <w:jc w:val="both"/>
        <w:rPr>
          <w:w w:val="115"/>
        </w:rPr>
      </w:pPr>
      <w:r w:rsidRPr="004F05FF">
        <w:rPr>
          <w:w w:val="115"/>
          <w:highlight w:val="yellow"/>
        </w:rPr>
        <w:t>TEK SATIR BOŞLUK</w:t>
      </w:r>
    </w:p>
    <w:p w14:paraId="08A4E7AC" w14:textId="082B0CA4" w:rsidR="00DA4C81" w:rsidRPr="00CD629D" w:rsidRDefault="00BC0C07" w:rsidP="00D96970">
      <w:pPr>
        <w:pStyle w:val="KonuBal"/>
        <w:spacing w:line="266" w:lineRule="auto"/>
        <w:ind w:left="0" w:right="4"/>
        <w:jc w:val="both"/>
        <w:rPr>
          <w:w w:val="115"/>
        </w:rPr>
      </w:pPr>
      <w:r w:rsidRPr="00BC0C07">
        <w:rPr>
          <w:w w:val="115"/>
        </w:rPr>
        <w:t>Performance Analysis in the Banking Sector: Evidence from Turkish Banks</w:t>
      </w:r>
    </w:p>
    <w:p w14:paraId="7F431957" w14:textId="77777777" w:rsidR="00F40465" w:rsidRPr="00CD629D" w:rsidRDefault="00F40465">
      <w:pPr>
        <w:pStyle w:val="GvdeMetni"/>
        <w:spacing w:before="18"/>
        <w:rPr>
          <w:sz w:val="36"/>
        </w:rPr>
      </w:pPr>
    </w:p>
    <w:p w14:paraId="4C301D29" w14:textId="786B6C42" w:rsidR="00F40465" w:rsidRPr="00D708EF" w:rsidRDefault="00370AE6" w:rsidP="00D96970">
      <w:pPr>
        <w:pStyle w:val="Balk2"/>
        <w:tabs>
          <w:tab w:val="left" w:pos="1933"/>
          <w:tab w:val="left" w:pos="2244"/>
          <w:tab w:val="left" w:pos="4533"/>
          <w:tab w:val="left" w:pos="4843"/>
        </w:tabs>
        <w:ind w:hanging="152"/>
        <w:rPr>
          <w:spacing w:val="-11"/>
          <w:w w:val="120"/>
          <w:sz w:val="22"/>
          <w:szCs w:val="22"/>
        </w:rPr>
      </w:pPr>
      <w:r w:rsidRPr="00D708EF">
        <w:rPr>
          <w:w w:val="115"/>
          <w:sz w:val="22"/>
          <w:szCs w:val="22"/>
        </w:rPr>
        <w:t xml:space="preserve">Ali </w:t>
      </w:r>
      <w:r w:rsidR="00E93C1F">
        <w:rPr>
          <w:w w:val="115"/>
          <w:sz w:val="22"/>
          <w:szCs w:val="22"/>
        </w:rPr>
        <w:t>Yılmaz</w:t>
      </w:r>
      <w:r w:rsidR="003E39BF" w:rsidRPr="00D708EF">
        <w:rPr>
          <w:rStyle w:val="DipnotBavurusu"/>
          <w:w w:val="115"/>
          <w:sz w:val="22"/>
          <w:szCs w:val="22"/>
        </w:rPr>
        <w:footnoteReference w:id="1"/>
      </w:r>
      <w:r w:rsidR="00F45D16" w:rsidRPr="00D708EF">
        <w:rPr>
          <w:spacing w:val="-11"/>
          <w:w w:val="120"/>
          <w:sz w:val="22"/>
          <w:szCs w:val="22"/>
        </w:rPr>
        <w:t xml:space="preserve"> </w:t>
      </w:r>
      <w:r w:rsidR="00F45D16" w:rsidRPr="00D708EF">
        <w:rPr>
          <w:noProof/>
          <w:spacing w:val="-13"/>
          <w:position w:val="1"/>
          <w:sz w:val="22"/>
          <w:szCs w:val="22"/>
        </w:rPr>
        <w:drawing>
          <wp:inline distT="0" distB="0" distL="0" distR="0" wp14:anchorId="1FFAF66B" wp14:editId="26D968D4">
            <wp:extent cx="108000" cy="108000"/>
            <wp:effectExtent l="0" t="0" r="6350" b="6350"/>
            <wp:docPr id="6" name="Image 6">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hlinkClick r:id="rId8"/>
                    </pic:cNvPr>
                    <pic:cNvPicPr/>
                  </pic:nvPicPr>
                  <pic:blipFill>
                    <a:blip r:embed="rId9" cstate="print"/>
                    <a:stretch>
                      <a:fillRect/>
                    </a:stretch>
                  </pic:blipFill>
                  <pic:spPr>
                    <a:xfrm>
                      <a:off x="0" y="0"/>
                      <a:ext cx="108000" cy="108000"/>
                    </a:xfrm>
                    <a:prstGeom prst="rect">
                      <a:avLst/>
                    </a:prstGeom>
                  </pic:spPr>
                </pic:pic>
              </a:graphicData>
            </a:graphic>
          </wp:inline>
        </w:drawing>
      </w:r>
      <w:r w:rsidR="00611752">
        <w:rPr>
          <w:spacing w:val="-11"/>
          <w:w w:val="120"/>
          <w:sz w:val="22"/>
          <w:szCs w:val="22"/>
        </w:rPr>
        <w:t xml:space="preserve"> (Yayın aşamasında eklenecektir.)</w:t>
      </w:r>
    </w:p>
    <w:p w14:paraId="704EECF1" w14:textId="075111A1" w:rsidR="00691AAB" w:rsidRPr="00D708EF" w:rsidRDefault="00E93C1F" w:rsidP="00691AAB">
      <w:pPr>
        <w:pStyle w:val="Balk2"/>
        <w:tabs>
          <w:tab w:val="left" w:pos="1933"/>
          <w:tab w:val="left" w:pos="2244"/>
          <w:tab w:val="left" w:pos="4533"/>
          <w:tab w:val="left" w:pos="4843"/>
        </w:tabs>
        <w:ind w:hanging="152"/>
        <w:rPr>
          <w:spacing w:val="-11"/>
          <w:w w:val="120"/>
          <w:sz w:val="22"/>
          <w:szCs w:val="22"/>
        </w:rPr>
      </w:pPr>
      <w:r>
        <w:rPr>
          <w:w w:val="115"/>
          <w:sz w:val="22"/>
          <w:szCs w:val="22"/>
        </w:rPr>
        <w:t>Mehmet</w:t>
      </w:r>
      <w:r w:rsidR="00370AE6" w:rsidRPr="00D708EF">
        <w:rPr>
          <w:w w:val="115"/>
          <w:sz w:val="22"/>
          <w:szCs w:val="22"/>
        </w:rPr>
        <w:t xml:space="preserve"> </w:t>
      </w:r>
      <w:r>
        <w:rPr>
          <w:w w:val="115"/>
          <w:sz w:val="22"/>
          <w:szCs w:val="22"/>
        </w:rPr>
        <w:t>Vural</w:t>
      </w:r>
      <w:r w:rsidR="00691AAB" w:rsidRPr="00D708EF">
        <w:rPr>
          <w:rStyle w:val="DipnotBavurusu"/>
          <w:w w:val="115"/>
          <w:sz w:val="22"/>
          <w:szCs w:val="22"/>
        </w:rPr>
        <w:footnoteReference w:id="2"/>
      </w:r>
      <w:r w:rsidR="00691AAB" w:rsidRPr="00D708EF">
        <w:rPr>
          <w:spacing w:val="-11"/>
          <w:w w:val="120"/>
          <w:sz w:val="22"/>
          <w:szCs w:val="22"/>
        </w:rPr>
        <w:t xml:space="preserve"> </w:t>
      </w:r>
      <w:r w:rsidR="00691AAB" w:rsidRPr="00D708EF">
        <w:rPr>
          <w:noProof/>
          <w:spacing w:val="-13"/>
          <w:position w:val="1"/>
          <w:sz w:val="22"/>
          <w:szCs w:val="22"/>
        </w:rPr>
        <w:drawing>
          <wp:inline distT="0" distB="0" distL="0" distR="0" wp14:anchorId="1EE4DCAE" wp14:editId="4CF2C4D2">
            <wp:extent cx="108000" cy="108000"/>
            <wp:effectExtent l="0" t="0" r="6350" b="6350"/>
            <wp:docPr id="1749057554" name="Image 6">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hlinkClick r:id="rId8"/>
                    </pic:cNvPr>
                    <pic:cNvPicPr/>
                  </pic:nvPicPr>
                  <pic:blipFill>
                    <a:blip r:embed="rId9" cstate="print"/>
                    <a:stretch>
                      <a:fillRect/>
                    </a:stretch>
                  </pic:blipFill>
                  <pic:spPr>
                    <a:xfrm>
                      <a:off x="0" y="0"/>
                      <a:ext cx="108000" cy="108000"/>
                    </a:xfrm>
                    <a:prstGeom prst="rect">
                      <a:avLst/>
                    </a:prstGeom>
                  </pic:spPr>
                </pic:pic>
              </a:graphicData>
            </a:graphic>
          </wp:inline>
        </w:drawing>
      </w:r>
    </w:p>
    <w:p w14:paraId="6E2EE299" w14:textId="54C7CE55" w:rsidR="00691AAB" w:rsidRPr="00D708EF" w:rsidRDefault="00E93C1F" w:rsidP="00691AAB">
      <w:pPr>
        <w:pStyle w:val="Balk2"/>
        <w:tabs>
          <w:tab w:val="left" w:pos="1933"/>
          <w:tab w:val="left" w:pos="2244"/>
          <w:tab w:val="left" w:pos="4533"/>
          <w:tab w:val="left" w:pos="4843"/>
        </w:tabs>
        <w:ind w:hanging="152"/>
        <w:rPr>
          <w:spacing w:val="-11"/>
          <w:w w:val="120"/>
          <w:sz w:val="22"/>
          <w:szCs w:val="22"/>
        </w:rPr>
      </w:pPr>
      <w:r>
        <w:rPr>
          <w:w w:val="115"/>
          <w:sz w:val="22"/>
          <w:szCs w:val="22"/>
        </w:rPr>
        <w:t>Kemal</w:t>
      </w:r>
      <w:r w:rsidR="00D4024B" w:rsidRPr="00D708EF">
        <w:rPr>
          <w:w w:val="115"/>
          <w:sz w:val="22"/>
          <w:szCs w:val="22"/>
        </w:rPr>
        <w:t xml:space="preserve"> </w:t>
      </w:r>
      <w:r>
        <w:rPr>
          <w:w w:val="115"/>
          <w:sz w:val="22"/>
          <w:szCs w:val="22"/>
        </w:rPr>
        <w:t>Doğan</w:t>
      </w:r>
      <w:r w:rsidR="00691AAB" w:rsidRPr="00D708EF">
        <w:rPr>
          <w:rStyle w:val="DipnotBavurusu"/>
          <w:w w:val="115"/>
          <w:sz w:val="22"/>
          <w:szCs w:val="22"/>
        </w:rPr>
        <w:footnoteReference w:id="3"/>
      </w:r>
      <w:r w:rsidR="00691AAB" w:rsidRPr="00D708EF">
        <w:rPr>
          <w:spacing w:val="-11"/>
          <w:w w:val="120"/>
          <w:sz w:val="22"/>
          <w:szCs w:val="22"/>
        </w:rPr>
        <w:t xml:space="preserve"> </w:t>
      </w:r>
      <w:r w:rsidR="00691AAB" w:rsidRPr="00D708EF">
        <w:rPr>
          <w:noProof/>
          <w:spacing w:val="-13"/>
          <w:position w:val="1"/>
          <w:sz w:val="22"/>
          <w:szCs w:val="22"/>
        </w:rPr>
        <w:drawing>
          <wp:inline distT="0" distB="0" distL="0" distR="0" wp14:anchorId="17B80A1C" wp14:editId="0A6897D6">
            <wp:extent cx="108000" cy="108000"/>
            <wp:effectExtent l="0" t="0" r="6350" b="6350"/>
            <wp:docPr id="485340058" name="Image 6">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hlinkClick r:id="rId8"/>
                    </pic:cNvPr>
                    <pic:cNvPicPr/>
                  </pic:nvPicPr>
                  <pic:blipFill>
                    <a:blip r:embed="rId9" cstate="print"/>
                    <a:stretch>
                      <a:fillRect/>
                    </a:stretch>
                  </pic:blipFill>
                  <pic:spPr>
                    <a:xfrm>
                      <a:off x="0" y="0"/>
                      <a:ext cx="108000" cy="108000"/>
                    </a:xfrm>
                    <a:prstGeom prst="rect">
                      <a:avLst/>
                    </a:prstGeom>
                  </pic:spPr>
                </pic:pic>
              </a:graphicData>
            </a:graphic>
          </wp:inline>
        </w:drawing>
      </w:r>
    </w:p>
    <w:p w14:paraId="5C80CAA1" w14:textId="54A18CE2" w:rsidR="00F77A51" w:rsidRPr="00880794" w:rsidRDefault="00F77A51" w:rsidP="00F77A51">
      <w:pPr>
        <w:spacing w:before="1"/>
        <w:rPr>
          <w:sz w:val="12"/>
          <w:szCs w:val="18"/>
        </w:rPr>
      </w:pPr>
    </w:p>
    <w:p w14:paraId="09A0793C" w14:textId="3B43DA7D" w:rsidR="00F40465" w:rsidRPr="00CD629D" w:rsidRDefault="00F40465" w:rsidP="00F77A51">
      <w:pPr>
        <w:spacing w:before="1"/>
        <w:rPr>
          <w:sz w:val="16"/>
        </w:rPr>
      </w:pPr>
    </w:p>
    <w:p w14:paraId="14E3EFCE" w14:textId="65CF3DFE" w:rsidR="0055681C" w:rsidRPr="0055681C" w:rsidRDefault="0055681C" w:rsidP="0055681C">
      <w:pPr>
        <w:pStyle w:val="GvdeMetni"/>
        <w:spacing w:before="83"/>
        <w:jc w:val="both"/>
        <w:rPr>
          <w:b/>
          <w:bCs/>
          <w:color w:val="000000"/>
          <w:spacing w:val="-2"/>
          <w:w w:val="115"/>
        </w:rPr>
      </w:pPr>
      <w:r w:rsidRPr="0055681C">
        <w:rPr>
          <w:b/>
          <w:bCs/>
          <w:color w:val="000000"/>
          <w:spacing w:val="-2"/>
          <w:w w:val="115"/>
        </w:rPr>
        <w:t>Öz</w:t>
      </w:r>
    </w:p>
    <w:p w14:paraId="014EF4B2" w14:textId="77777777" w:rsidR="007E520D" w:rsidRDefault="000A70FA" w:rsidP="0055681C">
      <w:pPr>
        <w:pStyle w:val="GvdeMetni"/>
        <w:spacing w:before="83"/>
        <w:jc w:val="both"/>
        <w:rPr>
          <w:color w:val="000000"/>
          <w:spacing w:val="-2"/>
          <w:w w:val="115"/>
        </w:rPr>
      </w:pPr>
      <w:r>
        <w:rPr>
          <w:color w:val="000000"/>
          <w:spacing w:val="-2"/>
          <w:w w:val="115"/>
        </w:rPr>
        <w:t>Özet</w:t>
      </w:r>
      <w:r w:rsidR="00343EB1">
        <w:rPr>
          <w:color w:val="000000"/>
          <w:spacing w:val="-2"/>
          <w:w w:val="115"/>
        </w:rPr>
        <w:t>/Abstract</w:t>
      </w:r>
      <w:r>
        <w:rPr>
          <w:color w:val="000000"/>
          <w:spacing w:val="-2"/>
          <w:w w:val="115"/>
        </w:rPr>
        <w:t xml:space="preserve"> bölümü ortalama 150-200 kelime aralığında iki yana yaslı, </w:t>
      </w:r>
      <w:r w:rsidR="00E046D8">
        <w:rPr>
          <w:color w:val="000000"/>
          <w:spacing w:val="-2"/>
          <w:w w:val="115"/>
        </w:rPr>
        <w:t>tek</w:t>
      </w:r>
      <w:r>
        <w:rPr>
          <w:color w:val="000000"/>
          <w:spacing w:val="-2"/>
          <w:w w:val="115"/>
        </w:rPr>
        <w:t xml:space="preserve"> satır aralığı 10 punt</w:t>
      </w:r>
      <w:r w:rsidR="008D5094">
        <w:rPr>
          <w:color w:val="000000"/>
          <w:spacing w:val="-2"/>
          <w:w w:val="115"/>
        </w:rPr>
        <w:t>o</w:t>
      </w:r>
      <w:r>
        <w:rPr>
          <w:color w:val="000000"/>
          <w:spacing w:val="-2"/>
          <w:w w:val="115"/>
        </w:rPr>
        <w:t xml:space="preserve"> ve</w:t>
      </w:r>
      <w:r w:rsidR="008D5094">
        <w:rPr>
          <w:color w:val="000000"/>
          <w:spacing w:val="-2"/>
          <w:w w:val="115"/>
        </w:rPr>
        <w:t xml:space="preserve"> Times New Roman yazı karakteri kullanılarak yazılacaktır. Çalışma ile alakalı 3-5 anahtar kelime eklenmelidir.</w:t>
      </w:r>
      <w:r w:rsidR="007E520D">
        <w:rPr>
          <w:color w:val="000000"/>
          <w:spacing w:val="-2"/>
          <w:w w:val="115"/>
        </w:rPr>
        <w:t xml:space="preserve"> </w:t>
      </w:r>
    </w:p>
    <w:p w14:paraId="27BB364A" w14:textId="77DA006B" w:rsidR="008D5094" w:rsidRDefault="007E520D" w:rsidP="0055681C">
      <w:pPr>
        <w:pStyle w:val="GvdeMetni"/>
        <w:spacing w:before="83"/>
        <w:jc w:val="both"/>
        <w:rPr>
          <w:color w:val="000000"/>
          <w:spacing w:val="-2"/>
          <w:w w:val="115"/>
        </w:rPr>
      </w:pPr>
      <w:r w:rsidRPr="007E520D">
        <w:rPr>
          <w:color w:val="000000"/>
          <w:spacing w:val="-2"/>
          <w:w w:val="115"/>
        </w:rPr>
        <w:t>İklim değişiklikleri dünya genelinde doğal afetleri artırarak ülkelerin ve firmaların faaliyetleri üzerinde birçok olumsuz etki bırakmaktadır. Bankalar bu değişim neticesinde ortaya çıkan risklere karşı hem kendi faaliyetlerini hem de müşterilerini korumak amacıyla çeşitli stratejiler geliştirmektedir. Bu çalışmada 2003-2023 yıllarında Türk bankacılık sektöründe faaliyet gösteren 10 ticaret bankasının kredi büyümesini etkileyen faktörlerin analizini amaçlanmaktadır. Çalışmada mevduat büyümesi, takipteki kredi oranı, gayri safi yurtiçi hasıla, dış ticaret hacmi, elektrik tüketimi, doğrudan dış yatırımlar, kentleşme, ekolojik ayak izi ve karbon salınımı bağımsız değişken olarak kullanılmıştır. Çalışmadan elde edilen sonuçlara göre bankaların kredi büyümesi ile mevduat büyümesi ile pozitif, gayri safi yurtiçi hasıla ile negatif, dış ticaret hacmi ile pozitif ve kentleşme ile negatif ilişki içinde olduğu tespit edilmiştir.</w:t>
      </w:r>
    </w:p>
    <w:p w14:paraId="376433DD" w14:textId="5E022814" w:rsidR="0055681C" w:rsidRPr="0055681C" w:rsidRDefault="0055681C" w:rsidP="0055681C">
      <w:pPr>
        <w:pStyle w:val="GvdeMetni"/>
        <w:spacing w:before="83"/>
        <w:jc w:val="both"/>
        <w:rPr>
          <w:color w:val="000000"/>
          <w:spacing w:val="-2"/>
          <w:w w:val="115"/>
        </w:rPr>
      </w:pPr>
      <w:r w:rsidRPr="0055681C">
        <w:rPr>
          <w:b/>
          <w:bCs/>
          <w:color w:val="000000"/>
          <w:spacing w:val="-2"/>
          <w:w w:val="115"/>
        </w:rPr>
        <w:t>Anahtar Kelimeler:</w:t>
      </w:r>
      <w:r w:rsidRPr="0055681C">
        <w:rPr>
          <w:color w:val="000000"/>
          <w:spacing w:val="-2"/>
          <w:w w:val="115"/>
        </w:rPr>
        <w:t xml:space="preserve"> </w:t>
      </w:r>
      <w:r w:rsidR="002C48E7" w:rsidRPr="002C48E7">
        <w:rPr>
          <w:color w:val="000000"/>
          <w:spacing w:val="-2"/>
          <w:w w:val="115"/>
        </w:rPr>
        <w:t>Bankacılık, Kredi Büyümesi, İklim Değişikliği, Panel Veri Analizi.</w:t>
      </w:r>
      <w:r w:rsidRPr="0055681C">
        <w:rPr>
          <w:color w:val="000000"/>
          <w:spacing w:val="-2"/>
          <w:w w:val="115"/>
        </w:rPr>
        <w:t xml:space="preserve"> </w:t>
      </w:r>
    </w:p>
    <w:p w14:paraId="4E2A8B5D" w14:textId="490B1B09" w:rsidR="0055681C" w:rsidRPr="0055681C" w:rsidRDefault="00304488" w:rsidP="0055681C">
      <w:pPr>
        <w:pStyle w:val="GvdeMetni"/>
        <w:spacing w:before="83"/>
        <w:jc w:val="both"/>
        <w:rPr>
          <w:color w:val="000000"/>
          <w:spacing w:val="-2"/>
          <w:w w:val="115"/>
        </w:rPr>
      </w:pPr>
      <w:r w:rsidRPr="00304488">
        <w:rPr>
          <w:color w:val="000000"/>
          <w:spacing w:val="-2"/>
          <w:w w:val="115"/>
          <w:highlight w:val="yellow"/>
        </w:rPr>
        <w:t>TEK SATIR BOŞLUK</w:t>
      </w:r>
    </w:p>
    <w:p w14:paraId="4B3A25D7" w14:textId="4525230B" w:rsidR="009E03FA" w:rsidRPr="009E03FA" w:rsidRDefault="0055681C" w:rsidP="0055681C">
      <w:pPr>
        <w:pStyle w:val="GvdeMetni"/>
        <w:spacing w:before="83"/>
        <w:jc w:val="both"/>
        <w:rPr>
          <w:b/>
          <w:bCs/>
          <w:color w:val="000000"/>
          <w:spacing w:val="-2"/>
          <w:w w:val="115"/>
        </w:rPr>
      </w:pPr>
      <w:r w:rsidRPr="009E03FA">
        <w:rPr>
          <w:b/>
          <w:bCs/>
          <w:color w:val="000000"/>
          <w:spacing w:val="-2"/>
          <w:w w:val="115"/>
        </w:rPr>
        <w:t>Abstract</w:t>
      </w:r>
    </w:p>
    <w:p w14:paraId="3761FF2F" w14:textId="77777777" w:rsidR="009B57F8" w:rsidRDefault="009B57F8" w:rsidP="0055681C">
      <w:pPr>
        <w:pStyle w:val="GvdeMetni"/>
        <w:spacing w:before="83"/>
        <w:jc w:val="both"/>
        <w:rPr>
          <w:color w:val="000000"/>
          <w:spacing w:val="-2"/>
          <w:w w:val="115"/>
        </w:rPr>
      </w:pPr>
      <w:r w:rsidRPr="009B57F8">
        <w:rPr>
          <w:color w:val="000000"/>
          <w:spacing w:val="-2"/>
          <w:w w:val="115"/>
        </w:rPr>
        <w:t xml:space="preserve">Climate change increases the number of natural disasters around the world and has many negative impacts on the activities of countries and firms. Banks develop various strategies to protect both their own activities and their customers against the risks arising as a result of this change. This study aims to analyze the factors affecting the loan growth of 10 commercial banks operating in the Turkish banking sector in 2003-2023. Deposit growth, non-performing loan ratio, gross domestic product, foreign trade volume, electricity consumption, foreign direct investment, urbanization, ecological footprint and carbon emissions are used as independent variables. According to the results obtained from the study, banks' loan growth is positively correlated with deposit growth, </w:t>
      </w:r>
      <w:r w:rsidRPr="009B57F8">
        <w:rPr>
          <w:color w:val="000000"/>
          <w:spacing w:val="-2"/>
          <w:w w:val="115"/>
        </w:rPr>
        <w:lastRenderedPageBreak/>
        <w:t>negatively correlated with gross domestic product, positively correlated with foreign trade volume and negatively correlated with urbanization.</w:t>
      </w:r>
      <w:r w:rsidRPr="009B57F8">
        <w:rPr>
          <w:color w:val="000000"/>
          <w:spacing w:val="-2"/>
          <w:w w:val="115"/>
        </w:rPr>
        <w:t xml:space="preserve"> </w:t>
      </w:r>
    </w:p>
    <w:p w14:paraId="3E3BC948" w14:textId="5F14196E" w:rsidR="00304488" w:rsidRDefault="0055681C" w:rsidP="0055681C">
      <w:pPr>
        <w:pStyle w:val="GvdeMetni"/>
        <w:spacing w:before="83"/>
        <w:jc w:val="both"/>
        <w:rPr>
          <w:color w:val="000000"/>
          <w:spacing w:val="-2"/>
          <w:w w:val="115"/>
        </w:rPr>
      </w:pPr>
      <w:r w:rsidRPr="00E02A2A">
        <w:rPr>
          <w:b/>
          <w:bCs/>
          <w:color w:val="000000"/>
          <w:spacing w:val="-2"/>
          <w:w w:val="115"/>
        </w:rPr>
        <w:t>Keywords:</w:t>
      </w:r>
      <w:r w:rsidRPr="0055681C">
        <w:rPr>
          <w:color w:val="000000"/>
          <w:spacing w:val="-2"/>
          <w:w w:val="115"/>
        </w:rPr>
        <w:t xml:space="preserve"> </w:t>
      </w:r>
      <w:r w:rsidR="00471261" w:rsidRPr="00471261">
        <w:rPr>
          <w:color w:val="000000"/>
          <w:spacing w:val="-2"/>
          <w:w w:val="115"/>
        </w:rPr>
        <w:t>Banking,</w:t>
      </w:r>
      <w:r w:rsidR="00471261">
        <w:rPr>
          <w:color w:val="000000"/>
          <w:spacing w:val="-2"/>
          <w:w w:val="115"/>
        </w:rPr>
        <w:t xml:space="preserve"> </w:t>
      </w:r>
      <w:r w:rsidR="00471261" w:rsidRPr="00471261">
        <w:rPr>
          <w:color w:val="000000"/>
          <w:spacing w:val="-2"/>
          <w:w w:val="115"/>
        </w:rPr>
        <w:t>Loan Growth,</w:t>
      </w:r>
      <w:r w:rsidR="00471261">
        <w:rPr>
          <w:color w:val="000000"/>
          <w:spacing w:val="-2"/>
          <w:w w:val="115"/>
        </w:rPr>
        <w:t xml:space="preserve"> </w:t>
      </w:r>
      <w:r w:rsidR="00471261" w:rsidRPr="00471261">
        <w:rPr>
          <w:color w:val="000000"/>
          <w:spacing w:val="-2"/>
          <w:w w:val="115"/>
        </w:rPr>
        <w:t>Climate Change, Panel Data Analysis.</w:t>
      </w:r>
    </w:p>
    <w:p w14:paraId="7B942F4A" w14:textId="4AA1EE2E" w:rsidR="00D3468A" w:rsidRPr="0018381B" w:rsidRDefault="00880794" w:rsidP="0018381B">
      <w:pPr>
        <w:widowControl/>
        <w:numPr>
          <w:ilvl w:val="0"/>
          <w:numId w:val="2"/>
        </w:numPr>
        <w:tabs>
          <w:tab w:val="left" w:pos="284"/>
        </w:tabs>
        <w:autoSpaceDE/>
        <w:autoSpaceDN/>
        <w:spacing w:before="120" w:after="120"/>
        <w:ind w:left="0" w:firstLine="0"/>
        <w:jc w:val="both"/>
        <w:rPr>
          <w:b/>
        </w:rPr>
      </w:pPr>
      <w:r w:rsidRPr="0018381B">
        <w:rPr>
          <w:b/>
        </w:rPr>
        <w:t xml:space="preserve">GİRİŞ </w:t>
      </w:r>
      <w:r w:rsidR="00DC7746" w:rsidRPr="009057E1">
        <w:rPr>
          <w:b/>
          <w:highlight w:val="yellow"/>
        </w:rPr>
        <w:t>(</w:t>
      </w:r>
      <w:r w:rsidR="00DC7746" w:rsidRPr="009057E1">
        <w:rPr>
          <w:highlight w:val="yellow"/>
        </w:rPr>
        <w:t>Ana başlıklar tamamı büyük</w:t>
      </w:r>
      <w:r w:rsidR="00DC7746" w:rsidRPr="009057E1">
        <w:rPr>
          <w:highlight w:val="yellow"/>
        </w:rPr>
        <w:t xml:space="preserve"> harflerle olacak)</w:t>
      </w:r>
    </w:p>
    <w:p w14:paraId="15538B25" w14:textId="201828F5" w:rsidR="00DC7746" w:rsidRDefault="007E553D" w:rsidP="0018381B">
      <w:pPr>
        <w:spacing w:before="120" w:after="120"/>
        <w:jc w:val="both"/>
      </w:pPr>
      <w:r w:rsidRPr="009057E1">
        <w:rPr>
          <w:highlight w:val="yellow"/>
        </w:rPr>
        <w:t>Çalışmanın bundan sonraki tüm kısımları 11 punto olacak şekilde hazırlanacaktır. Satır aralığı tek, önce ve sonra 6 nk olacaktır. Paragraf girintisi kullanılmamalıdır.</w:t>
      </w:r>
    </w:p>
    <w:p w14:paraId="25F9A132" w14:textId="77777777" w:rsidR="00154214" w:rsidRDefault="00154214" w:rsidP="00154214">
      <w:pPr>
        <w:spacing w:before="120" w:after="120"/>
        <w:jc w:val="both"/>
      </w:pPr>
      <w:r>
        <w:t>Ülkelerin ekonomik ve sosyal alanda gelişmiş bir görünüme ulaşabilmesi, ancak o ülkeyi oluşturan birimlerin sağlıklı ve sürdürülebilir büyümesi ile mümkün olabilir. Sürdürülebilir bir büyümenin sağlanabilmesi için firmaların ve bireylerin adil bir kaynak dağılımı ile desteklenmesi ve katma değeri yüksek yatırımlara öncülük edilmesi gerekmektedir. Türkiye gibi gelişmekte olan ülkelerde yoğun olarak hissedilen kaynak ihtiyacı, finansal aracıların etkili ve verimli çalışmaları ile giderilebilmektedir.</w:t>
      </w:r>
    </w:p>
    <w:p w14:paraId="17F54FB8" w14:textId="77777777" w:rsidR="00154214" w:rsidRDefault="00154214" w:rsidP="00154214">
      <w:pPr>
        <w:spacing w:before="120" w:after="120"/>
        <w:jc w:val="both"/>
      </w:pPr>
      <w:r>
        <w:t>Tasarruf fazlası olan kesim ile kaynak ihtiyacı olan kesimi ortak bir pazarda buluşturan finansal sektör, yerine getirdiği birçok önemli faaliyet ile ülke ekonomilerinin kalkınmasında hayati roller üstlenmektedir. 1980'li yıllarda Türk ekonomik yaşamında köklü değişimlerin yaşandığı ve 2000'li yılların başında meydana gelen ekonomik kriz sonrası dönemde bankacılık sektöründe yapısal kararların alındığı görülmektedir. Bu dönemde gerçekleştirilen reformlar ve düzenlemeler, sektörün daha sağlam temellere oturmasına ve finansal istikrarın sağlanmasına katkı sağlamıştır. Bankacılık sektörü, geçen yirmi yıllık süreçte yerine getirdiği faaliyetler neticesinde ülke ekonomisinin gelişmesine önemli katkılar sağlamış ve ülke refahının yükselmesinde öncü rol oynamıştır.</w:t>
      </w:r>
      <w:r w:rsidRPr="0018381B">
        <w:t xml:space="preserve"> </w:t>
      </w:r>
    </w:p>
    <w:p w14:paraId="6B09AA43" w14:textId="2BEC820B" w:rsidR="00D3468A" w:rsidRPr="001A5796" w:rsidRDefault="001F5F9D" w:rsidP="001F5F9D">
      <w:pPr>
        <w:spacing w:before="120" w:after="120"/>
        <w:jc w:val="both"/>
        <w:rPr>
          <w:b/>
          <w:bCs/>
        </w:rPr>
      </w:pPr>
      <w:r w:rsidRPr="001A5796">
        <w:rPr>
          <w:b/>
          <w:bCs/>
        </w:rPr>
        <w:t xml:space="preserve">2. </w:t>
      </w:r>
      <w:r w:rsidR="0018381B" w:rsidRPr="001A5796">
        <w:rPr>
          <w:b/>
          <w:bCs/>
        </w:rPr>
        <w:t xml:space="preserve">LİTERATÜR </w:t>
      </w:r>
    </w:p>
    <w:p w14:paraId="550E8BBC" w14:textId="77777777" w:rsidR="002F588B" w:rsidRDefault="002F588B" w:rsidP="0018381B">
      <w:pPr>
        <w:tabs>
          <w:tab w:val="left" w:pos="284"/>
        </w:tabs>
        <w:spacing w:before="120" w:after="120"/>
        <w:jc w:val="both"/>
        <w:rPr>
          <w:bCs/>
        </w:rPr>
      </w:pPr>
      <w:r w:rsidRPr="002F588B">
        <w:rPr>
          <w:bCs/>
        </w:rPr>
        <w:t>Dünya genelinde son yıllarda artan kirlilik ve çevrenin birçok olumsuzluğa maruz kalması iklim değişikliklerinin çalışmaların odak noktası haline gelmesine yol açmıştır. Henüz yerli literatürde yeterli çalışma bulunmasa da uluslararası literatürde çalışma sayısının oldukça fazla olduğu gözlemlenmektedir. İlgili alanda yer alan çalışmalardan bazıları aşağıdaki gibi özetlenebilir.</w:t>
      </w:r>
      <w:r w:rsidRPr="002F588B">
        <w:rPr>
          <w:bCs/>
        </w:rPr>
        <w:t xml:space="preserve"> </w:t>
      </w:r>
    </w:p>
    <w:p w14:paraId="234C580D" w14:textId="79F4A273" w:rsidR="00D3468A" w:rsidRPr="0018381B" w:rsidRDefault="00057EAB" w:rsidP="00057EAB">
      <w:pPr>
        <w:widowControl/>
        <w:tabs>
          <w:tab w:val="left" w:pos="426"/>
        </w:tabs>
        <w:autoSpaceDE/>
        <w:autoSpaceDN/>
        <w:spacing w:before="120" w:after="120" w:line="276" w:lineRule="auto"/>
        <w:jc w:val="both"/>
        <w:rPr>
          <w:b/>
        </w:rPr>
      </w:pPr>
      <w:r>
        <w:rPr>
          <w:b/>
        </w:rPr>
        <w:t xml:space="preserve">3. </w:t>
      </w:r>
      <w:r w:rsidR="005C68D8" w:rsidRPr="0018381B">
        <w:rPr>
          <w:b/>
        </w:rPr>
        <w:t>YÖNTEM</w:t>
      </w:r>
    </w:p>
    <w:p w14:paraId="42DAC2EA" w14:textId="386EE1C5" w:rsidR="00D3468A" w:rsidRPr="0018381B" w:rsidRDefault="00D3468A" w:rsidP="0018381B">
      <w:pPr>
        <w:tabs>
          <w:tab w:val="left" w:pos="284"/>
        </w:tabs>
        <w:spacing w:before="120" w:after="120"/>
        <w:jc w:val="both"/>
        <w:rPr>
          <w:b/>
          <w:bCs/>
        </w:rPr>
      </w:pPr>
      <w:r w:rsidRPr="0018381B">
        <w:rPr>
          <w:b/>
          <w:bCs/>
        </w:rPr>
        <w:t>3.1. Araştırmanın Tasarımı</w:t>
      </w:r>
      <w:r w:rsidR="00ED0C5F">
        <w:rPr>
          <w:b/>
          <w:bCs/>
        </w:rPr>
        <w:t xml:space="preserve"> (alt başlıkların ilk harflerş büyük olacak)</w:t>
      </w:r>
    </w:p>
    <w:p w14:paraId="3EAB4353" w14:textId="5CE69F34" w:rsidR="00E11BFD" w:rsidRDefault="00E11BFD" w:rsidP="0018381B">
      <w:pPr>
        <w:tabs>
          <w:tab w:val="left" w:pos="284"/>
        </w:tabs>
        <w:spacing w:before="120" w:after="120"/>
        <w:jc w:val="both"/>
        <w:rPr>
          <w:bCs/>
        </w:rPr>
      </w:pPr>
      <w:r w:rsidRPr="00E11BFD">
        <w:rPr>
          <w:bCs/>
        </w:rPr>
        <w:t>Çalışmanın amacı yeşil enerji girişimlerinin arttığı bu yüzyılda iklim değişikliklerinin bankaların kredi büyümesi üzerindeki etkisinin analizidir. Bu amaçla Türk bankacılık sektöründe faaliyet gösteren 10 bankanın bilgileri Türk Bankalar Birliğinden elde edilerek veri seti oluşturulmuştur. Çalışmada sektöre dair 2003-2023 yılları arasındaki yıllık veriler</w:t>
      </w:r>
      <w:r w:rsidRPr="00E11BFD">
        <w:rPr>
          <w:bCs/>
        </w:rPr>
        <w:t xml:space="preserve"> </w:t>
      </w:r>
      <w:r w:rsidR="000B058E" w:rsidRPr="000B058E">
        <w:rPr>
          <w:bCs/>
        </w:rPr>
        <w:t>üzerinden gerçekleştirilmiştir. Çalışma dönemi belirlenirken tüm verilerin kesintisiz bir biçimde elde edilebildiği 2003-2023 dönemi tercih edilmiştir.</w:t>
      </w:r>
    </w:p>
    <w:p w14:paraId="02323626" w14:textId="2AED9C34" w:rsidR="00D3468A" w:rsidRPr="0018381B" w:rsidRDefault="00D3468A" w:rsidP="0018381B">
      <w:pPr>
        <w:tabs>
          <w:tab w:val="left" w:pos="284"/>
        </w:tabs>
        <w:spacing w:before="120" w:after="120"/>
        <w:jc w:val="both"/>
        <w:rPr>
          <w:b/>
          <w:bCs/>
        </w:rPr>
      </w:pPr>
      <w:r w:rsidRPr="0018381B">
        <w:rPr>
          <w:b/>
          <w:bCs/>
        </w:rPr>
        <w:t>3.</w:t>
      </w:r>
      <w:r w:rsidR="00C960D0">
        <w:rPr>
          <w:b/>
          <w:bCs/>
        </w:rPr>
        <w:t>2</w:t>
      </w:r>
      <w:r w:rsidRPr="0018381B">
        <w:rPr>
          <w:b/>
          <w:bCs/>
        </w:rPr>
        <w:t>. Veri Toplama</w:t>
      </w:r>
    </w:p>
    <w:p w14:paraId="7262E550" w14:textId="77777777" w:rsidR="005A22C2" w:rsidRDefault="005A22C2" w:rsidP="0018381B">
      <w:pPr>
        <w:tabs>
          <w:tab w:val="left" w:pos="284"/>
        </w:tabs>
        <w:spacing w:before="120" w:after="120"/>
        <w:jc w:val="both"/>
        <w:rPr>
          <w:bCs/>
        </w:rPr>
      </w:pPr>
      <w:r w:rsidRPr="005A22C2">
        <w:rPr>
          <w:bCs/>
        </w:rPr>
        <w:t>Çalışmada bankaların kredi büyümesine etki eden faktörlerin analiz edilmesi amacıyla panel veri analizi kullanılmıştır. İlgili analizlerde değişkenler arasındaki ilişkinin belirlenmesinde aşağıdaki model kullanılmıştır.</w:t>
      </w:r>
      <w:r w:rsidRPr="005A22C2">
        <w:rPr>
          <w:bCs/>
        </w:rPr>
        <w:t xml:space="preserve"> </w:t>
      </w:r>
    </w:p>
    <w:p w14:paraId="57DF7A46" w14:textId="74CA306C" w:rsidR="00F236AF" w:rsidRDefault="00F236AF" w:rsidP="0018381B">
      <w:pPr>
        <w:tabs>
          <w:tab w:val="left" w:pos="284"/>
        </w:tabs>
        <w:spacing w:before="120" w:after="120"/>
        <w:jc w:val="both"/>
        <w:rPr>
          <w:b/>
        </w:rPr>
      </w:pPr>
      <w:r w:rsidRPr="00F236AF">
        <w:rPr>
          <w:b/>
        </w:rPr>
        <w:t>4. BULGULAR</w:t>
      </w:r>
    </w:p>
    <w:p w14:paraId="57AFB396" w14:textId="54027074" w:rsidR="00F236AF" w:rsidRPr="00F236AF" w:rsidRDefault="00F236AF" w:rsidP="00F236AF">
      <w:pPr>
        <w:tabs>
          <w:tab w:val="left" w:pos="284"/>
        </w:tabs>
        <w:spacing w:before="120" w:after="120"/>
        <w:jc w:val="both"/>
        <w:rPr>
          <w:bCs/>
        </w:rPr>
      </w:pPr>
      <w:r w:rsidRPr="00F236AF">
        <w:rPr>
          <w:bCs/>
        </w:rPr>
        <w:t xml:space="preserve">Çalışmada kullanılan değişkenlere ait tanımlayıcı istatistikler Tablo </w:t>
      </w:r>
      <w:r w:rsidR="00A30213">
        <w:rPr>
          <w:bCs/>
        </w:rPr>
        <w:t>x</w:t>
      </w:r>
      <w:r w:rsidRPr="00F236AF">
        <w:rPr>
          <w:bCs/>
        </w:rPr>
        <w:t xml:space="preserve">’te sunulmuştur. Tablo </w:t>
      </w:r>
      <w:r w:rsidR="00AC7FC3">
        <w:rPr>
          <w:bCs/>
        </w:rPr>
        <w:t>x</w:t>
      </w:r>
      <w:r w:rsidRPr="00F236AF">
        <w:rPr>
          <w:bCs/>
        </w:rPr>
        <w:t>’te yer alan sonuçlara göre incelenen dönemde bankaların kredi büyümesinin en yüksek değerin %192 iken en küçük değerinin -%10, mevduat büyümesinin en yüksek %110 olduğu en düşük ise -%20 seviyesinde olduğu ve takipteki krediler oranının ise en yüksek seviyesinin %388 en düşük seviyesinin -%83 olduğu görülmektedir.</w:t>
      </w:r>
    </w:p>
    <w:p w14:paraId="105A6F07" w14:textId="0A897077" w:rsidR="00F236AF" w:rsidRPr="00F236AF" w:rsidRDefault="00F236AF" w:rsidP="00F236AF">
      <w:pPr>
        <w:tabs>
          <w:tab w:val="left" w:pos="284"/>
        </w:tabs>
        <w:spacing w:before="120" w:after="120"/>
        <w:jc w:val="both"/>
        <w:rPr>
          <w:bCs/>
        </w:rPr>
      </w:pPr>
      <w:r w:rsidRPr="00F236AF">
        <w:rPr>
          <w:bCs/>
        </w:rPr>
        <w:t xml:space="preserve">Makro değişkenlerden GSYH’nin en yüksek değerinin %106, dış ticaret büyüme oranının %38, </w:t>
      </w:r>
      <w:r w:rsidRPr="00F236AF">
        <w:rPr>
          <w:bCs/>
        </w:rPr>
        <w:lastRenderedPageBreak/>
        <w:t>elektrik tüketiminin en yüksek %8, doğrudan dış yatırımların en yüksek %617, kentleşme artışının en yüksek oranının %0.24 , ekolojik ayak izi artışının %9 ve karbon ayak izi artışının %5 olduğu tespit edilmiştir.</w:t>
      </w:r>
    </w:p>
    <w:p w14:paraId="6BC791E1" w14:textId="08BE01CF" w:rsidR="00D3468A" w:rsidRPr="0018381B" w:rsidRDefault="00D3468A" w:rsidP="004A7DF6">
      <w:pPr>
        <w:jc w:val="center"/>
        <w:rPr>
          <w:bCs/>
        </w:rPr>
      </w:pPr>
      <w:r w:rsidRPr="0018381B">
        <w:rPr>
          <w:b/>
          <w:bCs/>
        </w:rPr>
        <w:t xml:space="preserve">Tablo </w:t>
      </w:r>
      <w:r w:rsidR="000B24F0">
        <w:rPr>
          <w:b/>
          <w:bCs/>
        </w:rPr>
        <w:t>1.</w:t>
      </w:r>
      <w:r w:rsidRPr="0018381B">
        <w:t xml:space="preserve"> Geçerlilik Güvenilirlik Tablosu</w:t>
      </w:r>
    </w:p>
    <w:tbl>
      <w:tblPr>
        <w:tblW w:w="5000" w:type="pct"/>
        <w:jc w:val="center"/>
        <w:tblCellMar>
          <w:left w:w="0" w:type="dxa"/>
          <w:right w:w="0" w:type="dxa"/>
        </w:tblCellMar>
        <w:tblLook w:val="0000" w:firstRow="0" w:lastRow="0" w:firstColumn="0" w:lastColumn="0" w:noHBand="0" w:noVBand="0"/>
      </w:tblPr>
      <w:tblGrid>
        <w:gridCol w:w="3217"/>
        <w:gridCol w:w="5447"/>
        <w:gridCol w:w="412"/>
      </w:tblGrid>
      <w:tr w:rsidR="00D3468A" w:rsidRPr="0018381B" w14:paraId="0F33C1C0" w14:textId="77777777" w:rsidTr="005C68D8">
        <w:trPr>
          <w:cantSplit/>
          <w:jc w:val="center"/>
        </w:trPr>
        <w:tc>
          <w:tcPr>
            <w:tcW w:w="5000" w:type="pct"/>
            <w:gridSpan w:val="3"/>
            <w:tcBorders>
              <w:top w:val="nil"/>
              <w:left w:val="nil"/>
              <w:bottom w:val="single" w:sz="4" w:space="0" w:color="auto"/>
              <w:right w:val="nil"/>
            </w:tcBorders>
            <w:shd w:val="clear" w:color="auto" w:fill="FFFFFF"/>
            <w:vAlign w:val="center"/>
          </w:tcPr>
          <w:p w14:paraId="623465D7" w14:textId="77777777" w:rsidR="00D3468A" w:rsidRPr="0018381B" w:rsidRDefault="00D3468A" w:rsidP="005C68D8">
            <w:pPr>
              <w:jc w:val="both"/>
              <w:rPr>
                <w:b/>
                <w:bCs/>
              </w:rPr>
            </w:pPr>
            <w:r w:rsidRPr="0018381B">
              <w:rPr>
                <w:b/>
                <w:bCs/>
              </w:rPr>
              <w:t>Reliability Statistics</w:t>
            </w:r>
          </w:p>
        </w:tc>
      </w:tr>
      <w:tr w:rsidR="00D3468A" w:rsidRPr="0018381B" w14:paraId="7A385E5C" w14:textId="77777777" w:rsidTr="005C68D8">
        <w:trPr>
          <w:cantSplit/>
          <w:jc w:val="center"/>
        </w:trPr>
        <w:tc>
          <w:tcPr>
            <w:tcW w:w="1772" w:type="pct"/>
            <w:tcBorders>
              <w:top w:val="single" w:sz="4" w:space="0" w:color="auto"/>
              <w:left w:val="nil"/>
              <w:bottom w:val="single" w:sz="4" w:space="0" w:color="auto"/>
            </w:tcBorders>
            <w:shd w:val="clear" w:color="auto" w:fill="FFFFFF"/>
            <w:vAlign w:val="bottom"/>
          </w:tcPr>
          <w:p w14:paraId="4F9C91A8" w14:textId="77777777" w:rsidR="00D3468A" w:rsidRPr="0018381B" w:rsidRDefault="00D3468A" w:rsidP="005C68D8">
            <w:pPr>
              <w:jc w:val="both"/>
              <w:rPr>
                <w:b/>
                <w:bCs/>
              </w:rPr>
            </w:pPr>
            <w:r w:rsidRPr="0018381B">
              <w:rPr>
                <w:b/>
                <w:bCs/>
              </w:rPr>
              <w:t>Cronbach's Alpha</w:t>
            </w:r>
          </w:p>
        </w:tc>
        <w:tc>
          <w:tcPr>
            <w:tcW w:w="3001" w:type="pct"/>
            <w:tcBorders>
              <w:top w:val="single" w:sz="4" w:space="0" w:color="auto"/>
              <w:bottom w:val="single" w:sz="4" w:space="0" w:color="auto"/>
            </w:tcBorders>
            <w:shd w:val="clear" w:color="auto" w:fill="FFFFFF"/>
            <w:vAlign w:val="bottom"/>
          </w:tcPr>
          <w:p w14:paraId="448CA8A2" w14:textId="77777777" w:rsidR="00D3468A" w:rsidRPr="0018381B" w:rsidRDefault="00D3468A" w:rsidP="005C68D8">
            <w:pPr>
              <w:jc w:val="both"/>
              <w:rPr>
                <w:b/>
                <w:bCs/>
              </w:rPr>
            </w:pPr>
            <w:r w:rsidRPr="0018381B">
              <w:rPr>
                <w:b/>
                <w:bCs/>
              </w:rPr>
              <w:t>Standardize Cronbach's Alpha</w:t>
            </w:r>
          </w:p>
        </w:tc>
        <w:tc>
          <w:tcPr>
            <w:tcW w:w="227" w:type="pct"/>
            <w:tcBorders>
              <w:top w:val="single" w:sz="4" w:space="0" w:color="auto"/>
              <w:bottom w:val="single" w:sz="4" w:space="0" w:color="auto"/>
              <w:right w:val="nil"/>
            </w:tcBorders>
            <w:shd w:val="clear" w:color="auto" w:fill="FFFFFF"/>
            <w:vAlign w:val="bottom"/>
          </w:tcPr>
          <w:p w14:paraId="632E1715" w14:textId="77777777" w:rsidR="00D3468A" w:rsidRPr="0018381B" w:rsidRDefault="00D3468A" w:rsidP="005C68D8">
            <w:pPr>
              <w:jc w:val="both"/>
              <w:rPr>
                <w:b/>
                <w:bCs/>
              </w:rPr>
            </w:pPr>
            <w:r w:rsidRPr="0018381B">
              <w:rPr>
                <w:b/>
                <w:bCs/>
              </w:rPr>
              <w:t xml:space="preserve">N </w:t>
            </w:r>
          </w:p>
        </w:tc>
      </w:tr>
      <w:tr w:rsidR="00D3468A" w:rsidRPr="0018381B" w14:paraId="14F505A3" w14:textId="77777777" w:rsidTr="005C68D8">
        <w:trPr>
          <w:cantSplit/>
          <w:jc w:val="center"/>
        </w:trPr>
        <w:tc>
          <w:tcPr>
            <w:tcW w:w="1772" w:type="pct"/>
            <w:tcBorders>
              <w:top w:val="single" w:sz="4" w:space="0" w:color="auto"/>
              <w:left w:val="nil"/>
              <w:bottom w:val="single" w:sz="4" w:space="0" w:color="auto"/>
            </w:tcBorders>
            <w:shd w:val="clear" w:color="auto" w:fill="auto"/>
          </w:tcPr>
          <w:p w14:paraId="5F88F88A" w14:textId="77777777" w:rsidR="00D3468A" w:rsidRPr="0018381B" w:rsidRDefault="00D3468A" w:rsidP="005C68D8">
            <w:pPr>
              <w:jc w:val="both"/>
            </w:pPr>
            <w:r w:rsidRPr="0018381B">
              <w:t>,743</w:t>
            </w:r>
          </w:p>
        </w:tc>
        <w:tc>
          <w:tcPr>
            <w:tcW w:w="3001" w:type="pct"/>
            <w:tcBorders>
              <w:top w:val="single" w:sz="4" w:space="0" w:color="auto"/>
              <w:bottom w:val="single" w:sz="4" w:space="0" w:color="auto"/>
            </w:tcBorders>
            <w:shd w:val="clear" w:color="auto" w:fill="auto"/>
          </w:tcPr>
          <w:p w14:paraId="24B3AF8F" w14:textId="77777777" w:rsidR="00D3468A" w:rsidRPr="0018381B" w:rsidRDefault="00D3468A" w:rsidP="005C68D8">
            <w:pPr>
              <w:jc w:val="both"/>
            </w:pPr>
            <w:r w:rsidRPr="0018381B">
              <w:t>,752</w:t>
            </w:r>
          </w:p>
        </w:tc>
        <w:tc>
          <w:tcPr>
            <w:tcW w:w="227" w:type="pct"/>
            <w:tcBorders>
              <w:top w:val="single" w:sz="4" w:space="0" w:color="auto"/>
              <w:bottom w:val="single" w:sz="4" w:space="0" w:color="auto"/>
              <w:right w:val="nil"/>
            </w:tcBorders>
            <w:shd w:val="clear" w:color="auto" w:fill="auto"/>
          </w:tcPr>
          <w:p w14:paraId="1C62CA3B" w14:textId="77777777" w:rsidR="00D3468A" w:rsidRPr="0018381B" w:rsidRDefault="00D3468A" w:rsidP="005C68D8">
            <w:pPr>
              <w:jc w:val="both"/>
            </w:pPr>
            <w:r w:rsidRPr="0018381B">
              <w:t>25</w:t>
            </w:r>
          </w:p>
        </w:tc>
      </w:tr>
    </w:tbl>
    <w:p w14:paraId="06693F78" w14:textId="0234A65A" w:rsidR="00D3468A" w:rsidRPr="0018381B" w:rsidRDefault="00B81BC0" w:rsidP="003175E4">
      <w:pPr>
        <w:widowControl/>
        <w:tabs>
          <w:tab w:val="left" w:pos="284"/>
        </w:tabs>
        <w:autoSpaceDE/>
        <w:autoSpaceDN/>
        <w:spacing w:before="120" w:after="120" w:line="276" w:lineRule="auto"/>
        <w:jc w:val="both"/>
        <w:rPr>
          <w:b/>
        </w:rPr>
      </w:pPr>
      <w:r>
        <w:rPr>
          <w:b/>
        </w:rPr>
        <w:t>5</w:t>
      </w:r>
      <w:r w:rsidR="003175E4">
        <w:rPr>
          <w:b/>
        </w:rPr>
        <w:t>. SONUÇ</w:t>
      </w:r>
    </w:p>
    <w:p w14:paraId="46914DC0" w14:textId="77777777" w:rsidR="00291211" w:rsidRPr="00291211" w:rsidRDefault="00291211" w:rsidP="00291211">
      <w:pPr>
        <w:tabs>
          <w:tab w:val="left" w:pos="284"/>
        </w:tabs>
        <w:spacing w:before="120" w:after="120"/>
        <w:jc w:val="both"/>
        <w:rPr>
          <w:bCs/>
        </w:rPr>
      </w:pPr>
      <w:r w:rsidRPr="00291211">
        <w:rPr>
          <w:bCs/>
        </w:rPr>
        <w:t>Bankalar faaliyetlerini yerine getirirken hem mikro hem de makro düzeydeki birçok değişken tarafından etkilenir. Türkiye gibi gelişmekte olan ekonomilerde daha kırılgan bir yapının olması değişkenlerin ülke ekonomisine olan negatif etkilerini artırabilmektedir. Tüm dünya ülkelerinde 20. ve 21. yüzyılda nüfusun, plansız kentleşmenin, üretimin, doğal kaynak kullanımının ve kirliliğin artması çevresel felaketlerin yaşanmasına yol açmıştır. Özellikle son yıllarda yaşanan iklim değişikliği problemleri tüm ülkeleri olumsuz etkileyen bir kavram olarak karşımıza çıkmıştır.</w:t>
      </w:r>
    </w:p>
    <w:p w14:paraId="601E37D3" w14:textId="7296E61B" w:rsidR="00D3468A" w:rsidRPr="0018381B" w:rsidRDefault="00291211" w:rsidP="00291211">
      <w:pPr>
        <w:tabs>
          <w:tab w:val="left" w:pos="284"/>
        </w:tabs>
        <w:spacing w:before="120" w:after="120"/>
        <w:jc w:val="both"/>
        <w:rPr>
          <w:bCs/>
        </w:rPr>
      </w:pPr>
      <w:r w:rsidRPr="00291211">
        <w:rPr>
          <w:bCs/>
        </w:rPr>
        <w:t>Çalışma kapsamında incelenen iklim değişikliği ve bankaların kredi verme davranışı arasındaki sonuçlar elektrik tüketimi, ekolojik ayak izi ve karbon salınımı yönüyle anlamlı bir ilişkinin olmadığı sadece kentleşme ile negatif yönlü ilişki içinde olduğu görülmüştür. Bu durumun bir sonucu olarak plansız kentleşme beraberinde meydana gelen olumsuz çevresel sonuçlar bankaların kredileri üzerinde çok fazla daralmaya yol açmaktadır.</w:t>
      </w:r>
      <w:r w:rsidRPr="00291211">
        <w:rPr>
          <w:bCs/>
        </w:rPr>
        <w:t xml:space="preserve"> </w:t>
      </w:r>
    </w:p>
    <w:p w14:paraId="02507EE2" w14:textId="04CA3892" w:rsidR="00D3468A" w:rsidRPr="0018381B" w:rsidRDefault="00762B75" w:rsidP="0018381B">
      <w:pPr>
        <w:spacing w:before="120" w:after="120"/>
        <w:jc w:val="both"/>
      </w:pPr>
      <w:r>
        <w:rPr>
          <w:b/>
        </w:rPr>
        <w:t>KAYNAKLAR</w:t>
      </w:r>
    </w:p>
    <w:p w14:paraId="652066C9" w14:textId="77777777" w:rsidR="00D3468A" w:rsidRPr="0018381B" w:rsidRDefault="00D3468A" w:rsidP="0018381B">
      <w:pPr>
        <w:spacing w:before="120" w:after="120"/>
        <w:ind w:left="284" w:hanging="284"/>
        <w:jc w:val="both"/>
        <w:rPr>
          <w:bCs/>
        </w:rPr>
      </w:pPr>
      <w:r w:rsidRPr="0018381B">
        <w:t>Adams</w:t>
      </w:r>
      <w:r w:rsidRPr="0018381B">
        <w:rPr>
          <w:bCs/>
        </w:rPr>
        <w:t xml:space="preserve">, J. G. ve Walls, R. M. (2020), Supporting The Health Care Workforce During The COVID-19 Global Epidemic. </w:t>
      </w:r>
      <w:r w:rsidRPr="0018381B">
        <w:rPr>
          <w:bCs/>
          <w:i/>
          <w:iCs/>
        </w:rPr>
        <w:t>JAMA, 323</w:t>
      </w:r>
      <w:r w:rsidRPr="0018381B">
        <w:rPr>
          <w:bCs/>
        </w:rPr>
        <w:t>(15), s.1439-1440. Https://Doi.Org/10.1001/Jama.2020.3972</w:t>
      </w:r>
    </w:p>
    <w:p w14:paraId="27142030" w14:textId="77777777" w:rsidR="00D3468A" w:rsidRPr="0018381B" w:rsidRDefault="00D3468A" w:rsidP="0018381B">
      <w:pPr>
        <w:spacing w:before="120" w:after="120"/>
        <w:ind w:left="284" w:hanging="284"/>
        <w:jc w:val="both"/>
        <w:rPr>
          <w:bCs/>
        </w:rPr>
      </w:pPr>
      <w:r w:rsidRPr="0018381B">
        <w:t>Aiken</w:t>
      </w:r>
      <w:r w:rsidRPr="0018381B">
        <w:rPr>
          <w:bCs/>
        </w:rPr>
        <w:t xml:space="preserve">, L. H., Sloane, D. M., Clarke, S., Poghosyan, L., Cho, E., You, L., ... &amp; Aungsuroch, Y. (2012), Importance Of Work Environments On Hospital Outcomes İn Nine Countries. </w:t>
      </w:r>
      <w:r w:rsidRPr="0018381B">
        <w:rPr>
          <w:bCs/>
          <w:i/>
          <w:iCs/>
        </w:rPr>
        <w:t>International Journal Of Quality İn Health Care, 24</w:t>
      </w:r>
      <w:r w:rsidRPr="0018381B">
        <w:rPr>
          <w:bCs/>
        </w:rPr>
        <w:t>(4), s.357-364. Https://Doi.Org/10.1093/İntqhc/Mzs041</w:t>
      </w:r>
    </w:p>
    <w:p w14:paraId="76AE6436" w14:textId="77777777" w:rsidR="00D3468A" w:rsidRPr="0018381B" w:rsidRDefault="00D3468A" w:rsidP="0018381B">
      <w:pPr>
        <w:spacing w:before="120" w:after="120"/>
        <w:ind w:left="284" w:hanging="284"/>
        <w:jc w:val="both"/>
        <w:rPr>
          <w:bCs/>
        </w:rPr>
      </w:pPr>
      <w:r w:rsidRPr="0018381B">
        <w:t>Duffield</w:t>
      </w:r>
      <w:r w:rsidRPr="0018381B">
        <w:rPr>
          <w:bCs/>
        </w:rPr>
        <w:t xml:space="preserve">, C., Roche, M., Blay, N. ve Stasa, H. (2011), Nursing Unit Managers, Staff Retention And The Work Environment. </w:t>
      </w:r>
      <w:r w:rsidRPr="0018381B">
        <w:rPr>
          <w:bCs/>
          <w:i/>
          <w:iCs/>
        </w:rPr>
        <w:t>Journal Of Clinical Nursing, 20</w:t>
      </w:r>
      <w:r w:rsidRPr="0018381B">
        <w:rPr>
          <w:bCs/>
        </w:rPr>
        <w:t>(1-2), s.23-33. Https://Doi.Org/10.1111/J.1365-2702.2010.03478.X</w:t>
      </w:r>
    </w:p>
    <w:p w14:paraId="6DA512FC" w14:textId="77777777" w:rsidR="00D3468A" w:rsidRPr="0018381B" w:rsidRDefault="00D3468A" w:rsidP="0018381B">
      <w:pPr>
        <w:spacing w:before="120" w:after="120"/>
        <w:ind w:left="284" w:hanging="284"/>
        <w:jc w:val="both"/>
        <w:rPr>
          <w:bCs/>
        </w:rPr>
      </w:pPr>
      <w:r w:rsidRPr="0018381B">
        <w:rPr>
          <w:bCs/>
        </w:rPr>
        <w:t xml:space="preserve">Engels, J. A., Van Der Gulden, J. W., Senden, T. F. ve Van’t Hof, B. (1996), Physical Work Load And </w:t>
      </w:r>
      <w:r w:rsidRPr="0018381B">
        <w:t>İts</w:t>
      </w:r>
      <w:r w:rsidRPr="0018381B">
        <w:rPr>
          <w:bCs/>
        </w:rPr>
        <w:t xml:space="preserve"> Assessment Among The Nursing Staff İn Nursing Homes. </w:t>
      </w:r>
      <w:r w:rsidRPr="0018381B">
        <w:rPr>
          <w:bCs/>
          <w:i/>
          <w:iCs/>
        </w:rPr>
        <w:t>Journal Of Human Ergology, 25</w:t>
      </w:r>
      <w:r w:rsidRPr="0018381B">
        <w:rPr>
          <w:bCs/>
        </w:rPr>
        <w:t>(1), s.35-44.</w:t>
      </w:r>
    </w:p>
    <w:p w14:paraId="70D64F78" w14:textId="77777777" w:rsidR="00D3468A" w:rsidRPr="0018381B" w:rsidRDefault="00D3468A" w:rsidP="0018381B">
      <w:pPr>
        <w:spacing w:before="120" w:after="120"/>
        <w:ind w:left="284" w:hanging="284"/>
        <w:jc w:val="both"/>
        <w:rPr>
          <w:bCs/>
        </w:rPr>
      </w:pPr>
      <w:r w:rsidRPr="0018381B">
        <w:t>Etikan</w:t>
      </w:r>
      <w:r w:rsidRPr="0018381B">
        <w:rPr>
          <w:bCs/>
        </w:rPr>
        <w:t xml:space="preserve">, I., Musa, S. A. ve Alkassim, R. S. (2016), Comparison Of Convenience Sampling And Purposive Sampling. </w:t>
      </w:r>
      <w:r w:rsidRPr="0018381B">
        <w:rPr>
          <w:bCs/>
          <w:i/>
          <w:iCs/>
        </w:rPr>
        <w:t>American Journal Of Theoretical And Applied Statistics, 5</w:t>
      </w:r>
      <w:r w:rsidRPr="0018381B">
        <w:rPr>
          <w:bCs/>
        </w:rPr>
        <w:t>(1), s.1-4. Https://Doi.Org/10.11648/J.Ajtas.20160501.11</w:t>
      </w:r>
    </w:p>
    <w:p w14:paraId="50DAF920" w14:textId="05F4A5B0" w:rsidR="00D3468A" w:rsidRPr="0018381B" w:rsidRDefault="00D3468A" w:rsidP="0018381B">
      <w:pPr>
        <w:spacing w:before="120" w:after="120"/>
        <w:ind w:left="284" w:hanging="284"/>
        <w:jc w:val="both"/>
      </w:pPr>
      <w:r w:rsidRPr="0018381B">
        <w:t>Zohar</w:t>
      </w:r>
      <w:r w:rsidRPr="0018381B">
        <w:rPr>
          <w:bCs/>
        </w:rPr>
        <w:t xml:space="preserve">, D. ve Luria, G. (2003), The Use Of Supervisory Practices As Leverage To </w:t>
      </w:r>
      <w:r w:rsidR="00C67B41">
        <w:rPr>
          <w:bCs/>
        </w:rPr>
        <w:t>I</w:t>
      </w:r>
      <w:r w:rsidRPr="0018381B">
        <w:rPr>
          <w:bCs/>
        </w:rPr>
        <w:t xml:space="preserve">mprove Safety Behavior: A Cross-Level </w:t>
      </w:r>
      <w:r w:rsidR="00A458EB">
        <w:rPr>
          <w:bCs/>
        </w:rPr>
        <w:t>I</w:t>
      </w:r>
      <w:r w:rsidRPr="0018381B">
        <w:rPr>
          <w:bCs/>
        </w:rPr>
        <w:t xml:space="preserve">ntervention Model. </w:t>
      </w:r>
      <w:r w:rsidRPr="0018381B">
        <w:rPr>
          <w:bCs/>
          <w:i/>
          <w:iCs/>
        </w:rPr>
        <w:t>Journal Of Safety Research, 34</w:t>
      </w:r>
      <w:r w:rsidRPr="0018381B">
        <w:rPr>
          <w:bCs/>
        </w:rPr>
        <w:t>(5), s.567-577. Https://Doi.Org/10.1016/J.Jsr.2003.05.006</w:t>
      </w:r>
    </w:p>
    <w:sectPr w:rsidR="00D3468A" w:rsidRPr="0018381B" w:rsidSect="00D450DA">
      <w:headerReference w:type="default" r:id="rId10"/>
      <w:footerReference w:type="default" r:id="rId11"/>
      <w:footerReference w:type="first" r:id="rId12"/>
      <w:pgSz w:w="11910" w:h="1565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044A9" w14:textId="77777777" w:rsidR="000808EB" w:rsidRPr="00CD629D" w:rsidRDefault="000808EB" w:rsidP="002B2B92">
      <w:r w:rsidRPr="00CD629D">
        <w:separator/>
      </w:r>
    </w:p>
  </w:endnote>
  <w:endnote w:type="continuationSeparator" w:id="0">
    <w:p w14:paraId="36F0BB07" w14:textId="77777777" w:rsidR="000808EB" w:rsidRPr="00CD629D" w:rsidRDefault="000808EB" w:rsidP="002B2B92">
      <w:r w:rsidRPr="00CD62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739709"/>
      <w:docPartObj>
        <w:docPartGallery w:val="Page Numbers (Bottom of Page)"/>
        <w:docPartUnique/>
      </w:docPartObj>
    </w:sdtPr>
    <w:sdtContent>
      <w:p w14:paraId="11DF3E2B" w14:textId="5759C751" w:rsidR="00D450DA" w:rsidRDefault="00D450DA">
        <w:pPr>
          <w:pStyle w:val="AltBilgi"/>
          <w:jc w:val="right"/>
        </w:pPr>
        <w:r>
          <w:t xml:space="preserve">Sayfa | </w:t>
        </w:r>
        <w:r>
          <w:fldChar w:fldCharType="begin"/>
        </w:r>
        <w:r>
          <w:instrText>PAGE   \* MERGEFORMAT</w:instrText>
        </w:r>
        <w:r>
          <w:fldChar w:fldCharType="separate"/>
        </w:r>
        <w:r>
          <w:t>2</w:t>
        </w:r>
        <w:r>
          <w:fldChar w:fldCharType="end"/>
        </w:r>
        <w:r>
          <w:t xml:space="preserve"> </w:t>
        </w:r>
      </w:p>
    </w:sdtContent>
  </w:sdt>
  <w:p w14:paraId="734F48A8" w14:textId="77777777" w:rsidR="00D450DA" w:rsidRDefault="00D450D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4662E" w14:textId="16C035E6" w:rsidR="00D450DA" w:rsidRPr="00D450DA" w:rsidRDefault="00D450DA" w:rsidP="00D450DA">
    <w:pPr>
      <w:pStyle w:val="AltBilgi"/>
    </w:pPr>
    <w:r>
      <w:rPr>
        <w:noProof/>
      </w:rPr>
      <mc:AlternateContent>
        <mc:Choice Requires="wps">
          <w:drawing>
            <wp:anchor distT="45720" distB="45720" distL="114300" distR="114300" simplePos="0" relativeHeight="251659264" behindDoc="0" locked="0" layoutInCell="1" allowOverlap="1" wp14:anchorId="66E0801C" wp14:editId="022D089B">
              <wp:simplePos x="0" y="0"/>
              <wp:positionH relativeFrom="column">
                <wp:posOffset>-53975</wp:posOffset>
              </wp:positionH>
              <wp:positionV relativeFrom="paragraph">
                <wp:posOffset>-145415</wp:posOffset>
              </wp:positionV>
              <wp:extent cx="5836920" cy="1404620"/>
              <wp:effectExtent l="19050" t="19050" r="30480" b="3619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4620"/>
                      </a:xfrm>
                      <a:custGeom>
                        <a:avLst/>
                        <a:gdLst>
                          <a:gd name="connsiteX0" fmla="*/ 0 w 5836920"/>
                          <a:gd name="connsiteY0" fmla="*/ 0 h 1404620"/>
                          <a:gd name="connsiteX1" fmla="*/ 700430 w 5836920"/>
                          <a:gd name="connsiteY1" fmla="*/ 0 h 1404620"/>
                          <a:gd name="connsiteX2" fmla="*/ 1284122 w 5836920"/>
                          <a:gd name="connsiteY2" fmla="*/ 0 h 1404620"/>
                          <a:gd name="connsiteX3" fmla="*/ 1809445 w 5836920"/>
                          <a:gd name="connsiteY3" fmla="*/ 0 h 1404620"/>
                          <a:gd name="connsiteX4" fmla="*/ 2393137 w 5836920"/>
                          <a:gd name="connsiteY4" fmla="*/ 0 h 1404620"/>
                          <a:gd name="connsiteX5" fmla="*/ 2918460 w 5836920"/>
                          <a:gd name="connsiteY5" fmla="*/ 0 h 1404620"/>
                          <a:gd name="connsiteX6" fmla="*/ 3327044 w 5836920"/>
                          <a:gd name="connsiteY6" fmla="*/ 0 h 1404620"/>
                          <a:gd name="connsiteX7" fmla="*/ 4027475 w 5836920"/>
                          <a:gd name="connsiteY7" fmla="*/ 0 h 1404620"/>
                          <a:gd name="connsiteX8" fmla="*/ 4494428 w 5836920"/>
                          <a:gd name="connsiteY8" fmla="*/ 0 h 1404620"/>
                          <a:gd name="connsiteX9" fmla="*/ 4961382 w 5836920"/>
                          <a:gd name="connsiteY9" fmla="*/ 0 h 1404620"/>
                          <a:gd name="connsiteX10" fmla="*/ 5836920 w 5836920"/>
                          <a:gd name="connsiteY10" fmla="*/ 0 h 1404620"/>
                          <a:gd name="connsiteX11" fmla="*/ 5836920 w 5836920"/>
                          <a:gd name="connsiteY11" fmla="*/ 426068 h 1404620"/>
                          <a:gd name="connsiteX12" fmla="*/ 5836920 w 5836920"/>
                          <a:gd name="connsiteY12" fmla="*/ 922367 h 1404620"/>
                          <a:gd name="connsiteX13" fmla="*/ 5836920 w 5836920"/>
                          <a:gd name="connsiteY13" fmla="*/ 1404620 h 1404620"/>
                          <a:gd name="connsiteX14" fmla="*/ 5136490 w 5836920"/>
                          <a:gd name="connsiteY14" fmla="*/ 1404620 h 1404620"/>
                          <a:gd name="connsiteX15" fmla="*/ 4552798 w 5836920"/>
                          <a:gd name="connsiteY15" fmla="*/ 1404620 h 1404620"/>
                          <a:gd name="connsiteX16" fmla="*/ 4027475 w 5836920"/>
                          <a:gd name="connsiteY16" fmla="*/ 1404620 h 1404620"/>
                          <a:gd name="connsiteX17" fmla="*/ 3618890 w 5836920"/>
                          <a:gd name="connsiteY17" fmla="*/ 1404620 h 1404620"/>
                          <a:gd name="connsiteX18" fmla="*/ 3035198 w 5836920"/>
                          <a:gd name="connsiteY18" fmla="*/ 1404620 h 1404620"/>
                          <a:gd name="connsiteX19" fmla="*/ 2393137 w 5836920"/>
                          <a:gd name="connsiteY19" fmla="*/ 1404620 h 1404620"/>
                          <a:gd name="connsiteX20" fmla="*/ 1926184 w 5836920"/>
                          <a:gd name="connsiteY20" fmla="*/ 1404620 h 1404620"/>
                          <a:gd name="connsiteX21" fmla="*/ 1342492 w 5836920"/>
                          <a:gd name="connsiteY21" fmla="*/ 1404620 h 1404620"/>
                          <a:gd name="connsiteX22" fmla="*/ 700430 w 5836920"/>
                          <a:gd name="connsiteY22" fmla="*/ 1404620 h 1404620"/>
                          <a:gd name="connsiteX23" fmla="*/ 0 w 5836920"/>
                          <a:gd name="connsiteY23" fmla="*/ 1404620 h 1404620"/>
                          <a:gd name="connsiteX24" fmla="*/ 0 w 5836920"/>
                          <a:gd name="connsiteY24" fmla="*/ 978552 h 1404620"/>
                          <a:gd name="connsiteX25" fmla="*/ 0 w 5836920"/>
                          <a:gd name="connsiteY25" fmla="*/ 538438 h 1404620"/>
                          <a:gd name="connsiteX26" fmla="*/ 0 w 5836920"/>
                          <a:gd name="connsiteY26"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836920" h="1404620" extrusionOk="0">
                            <a:moveTo>
                              <a:pt x="0" y="0"/>
                            </a:moveTo>
                            <a:cubicBezTo>
                              <a:pt x="274194" y="-71517"/>
                              <a:pt x="505533" y="11696"/>
                              <a:pt x="700430" y="0"/>
                            </a:cubicBezTo>
                            <a:cubicBezTo>
                              <a:pt x="895327" y="-11696"/>
                              <a:pt x="1056480" y="25912"/>
                              <a:pt x="1284122" y="0"/>
                            </a:cubicBezTo>
                            <a:cubicBezTo>
                              <a:pt x="1511764" y="-25912"/>
                              <a:pt x="1702696" y="37541"/>
                              <a:pt x="1809445" y="0"/>
                            </a:cubicBezTo>
                            <a:cubicBezTo>
                              <a:pt x="1916194" y="-37541"/>
                              <a:pt x="2135771" y="16702"/>
                              <a:pt x="2393137" y="0"/>
                            </a:cubicBezTo>
                            <a:cubicBezTo>
                              <a:pt x="2650503" y="-16702"/>
                              <a:pt x="2802747" y="41025"/>
                              <a:pt x="2918460" y="0"/>
                            </a:cubicBezTo>
                            <a:cubicBezTo>
                              <a:pt x="3034173" y="-41025"/>
                              <a:pt x="3219244" y="38554"/>
                              <a:pt x="3327044" y="0"/>
                            </a:cubicBezTo>
                            <a:cubicBezTo>
                              <a:pt x="3434844" y="-38554"/>
                              <a:pt x="3733152" y="45928"/>
                              <a:pt x="4027475" y="0"/>
                            </a:cubicBezTo>
                            <a:cubicBezTo>
                              <a:pt x="4321798" y="-45928"/>
                              <a:pt x="4330278" y="25477"/>
                              <a:pt x="4494428" y="0"/>
                            </a:cubicBezTo>
                            <a:cubicBezTo>
                              <a:pt x="4658578" y="-25477"/>
                              <a:pt x="4824519" y="7660"/>
                              <a:pt x="4961382" y="0"/>
                            </a:cubicBezTo>
                            <a:cubicBezTo>
                              <a:pt x="5098245" y="-7660"/>
                              <a:pt x="5568616" y="92079"/>
                              <a:pt x="5836920" y="0"/>
                            </a:cubicBezTo>
                            <a:cubicBezTo>
                              <a:pt x="5866312" y="97058"/>
                              <a:pt x="5828929" y="228712"/>
                              <a:pt x="5836920" y="426068"/>
                            </a:cubicBezTo>
                            <a:cubicBezTo>
                              <a:pt x="5844911" y="623424"/>
                              <a:pt x="5824737" y="805116"/>
                              <a:pt x="5836920" y="922367"/>
                            </a:cubicBezTo>
                            <a:cubicBezTo>
                              <a:pt x="5849103" y="1039618"/>
                              <a:pt x="5810809" y="1193811"/>
                              <a:pt x="5836920" y="1404620"/>
                            </a:cubicBezTo>
                            <a:cubicBezTo>
                              <a:pt x="5523548" y="1407284"/>
                              <a:pt x="5335996" y="1391942"/>
                              <a:pt x="5136490" y="1404620"/>
                            </a:cubicBezTo>
                            <a:cubicBezTo>
                              <a:pt x="4936984" y="1417298"/>
                              <a:pt x="4670696" y="1367934"/>
                              <a:pt x="4552798" y="1404620"/>
                            </a:cubicBezTo>
                            <a:cubicBezTo>
                              <a:pt x="4434900" y="1441306"/>
                              <a:pt x="4261111" y="1380211"/>
                              <a:pt x="4027475" y="1404620"/>
                            </a:cubicBezTo>
                            <a:cubicBezTo>
                              <a:pt x="3793839" y="1429029"/>
                              <a:pt x="3748089" y="1383418"/>
                              <a:pt x="3618890" y="1404620"/>
                            </a:cubicBezTo>
                            <a:cubicBezTo>
                              <a:pt x="3489692" y="1425822"/>
                              <a:pt x="3284518" y="1383090"/>
                              <a:pt x="3035198" y="1404620"/>
                            </a:cubicBezTo>
                            <a:cubicBezTo>
                              <a:pt x="2785878" y="1426150"/>
                              <a:pt x="2699590" y="1396268"/>
                              <a:pt x="2393137" y="1404620"/>
                            </a:cubicBezTo>
                            <a:cubicBezTo>
                              <a:pt x="2086684" y="1412972"/>
                              <a:pt x="2057359" y="1349560"/>
                              <a:pt x="1926184" y="1404620"/>
                            </a:cubicBezTo>
                            <a:cubicBezTo>
                              <a:pt x="1795009" y="1459680"/>
                              <a:pt x="1629002" y="1387636"/>
                              <a:pt x="1342492" y="1404620"/>
                            </a:cubicBezTo>
                            <a:cubicBezTo>
                              <a:pt x="1055982" y="1421604"/>
                              <a:pt x="922380" y="1347752"/>
                              <a:pt x="700430" y="1404620"/>
                            </a:cubicBezTo>
                            <a:cubicBezTo>
                              <a:pt x="478480" y="1461488"/>
                              <a:pt x="316728" y="1340167"/>
                              <a:pt x="0" y="1404620"/>
                            </a:cubicBezTo>
                            <a:cubicBezTo>
                              <a:pt x="-5722" y="1259912"/>
                              <a:pt x="483" y="1096054"/>
                              <a:pt x="0" y="978552"/>
                            </a:cubicBezTo>
                            <a:cubicBezTo>
                              <a:pt x="-483" y="861050"/>
                              <a:pt x="32324" y="677511"/>
                              <a:pt x="0" y="538438"/>
                            </a:cubicBezTo>
                            <a:cubicBezTo>
                              <a:pt x="-32324" y="399365"/>
                              <a:pt x="26032" y="228588"/>
                              <a:pt x="0" y="0"/>
                            </a:cubicBezTo>
                            <a:close/>
                          </a:path>
                        </a:pathLst>
                      </a:custGeom>
                      <a:noFill/>
                      <a:ln>
                        <a:solidFill>
                          <a:schemeClr val="tx1"/>
                        </a:solidFill>
                        <a:extLst>
                          <a:ext uri="{C807C97D-BFC1-408E-A445-0C87EB9F89A2}">
                            <ask:lineSketchStyleProps xmlns:ask="http://schemas.microsoft.com/office/drawing/2018/sketchyshapes" sd="3507143784">
                              <a:prstGeom prst="rect">
                                <a:avLst/>
                              </a:prstGeom>
                              <ask:type>
                                <ask:lineSketchScribble/>
                              </ask:type>
                            </ask:lineSketchStyleProps>
                          </a:ext>
                        </a:extLst>
                      </a:ln>
                    </wps:spPr>
                    <wps:style>
                      <a:lnRef idx="0">
                        <a:scrgbClr r="0" g="0" b="0"/>
                      </a:lnRef>
                      <a:fillRef idx="0">
                        <a:scrgbClr r="0" g="0" b="0"/>
                      </a:fillRef>
                      <a:effectRef idx="0">
                        <a:scrgbClr r="0" g="0" b="0"/>
                      </a:effectRef>
                      <a:fontRef idx="minor">
                        <a:schemeClr val="accent1"/>
                      </a:fontRef>
                    </wps:style>
                    <wps:txbx>
                      <w:txbxContent>
                        <w:p w14:paraId="045E0747" w14:textId="287AE63C" w:rsidR="00D450DA" w:rsidRDefault="00045ACF" w:rsidP="00D450DA">
                          <w:pPr>
                            <w:pStyle w:val="AltBilgi"/>
                            <w:jc w:val="both"/>
                          </w:pPr>
                          <w:r>
                            <w:t>B</w:t>
                          </w:r>
                          <w:r w:rsidR="00750C41">
                            <w:t>, A</w:t>
                          </w:r>
                          <w:r w:rsidR="00131177">
                            <w:t xml:space="preserve">., </w:t>
                          </w:r>
                          <w:r>
                            <w:t>D</w:t>
                          </w:r>
                          <w:r w:rsidR="00131177">
                            <w:t xml:space="preserve">, </w:t>
                          </w:r>
                          <w:r w:rsidR="002B11A1">
                            <w:t>M</w:t>
                          </w:r>
                          <w:r w:rsidR="00131177">
                            <w:t xml:space="preserve">. &amp; </w:t>
                          </w:r>
                          <w:r>
                            <w:t>F</w:t>
                          </w:r>
                          <w:r w:rsidR="00131177">
                            <w:t xml:space="preserve">, </w:t>
                          </w:r>
                          <w:r w:rsidR="002B11A1">
                            <w:t>K</w:t>
                          </w:r>
                          <w:r w:rsidR="00131177">
                            <w:t>.</w:t>
                          </w:r>
                          <w:r w:rsidR="00D450DA">
                            <w:t xml:space="preserve"> (2024). </w:t>
                          </w:r>
                          <w:r w:rsidR="002B11A1" w:rsidRPr="002B11A1">
                            <w:t>Bankacılık Sektöründe Performans Analizi: Türk Bankalarından Kanıtlar</w:t>
                          </w:r>
                          <w:r w:rsidR="00FA35B0">
                            <w:t>.</w:t>
                          </w:r>
                          <w:r w:rsidR="00D450DA">
                            <w:t xml:space="preserve"> 4 Eylül Akademi Dergisi, 1(</w:t>
                          </w:r>
                          <w:r w:rsidR="00210280">
                            <w:t>1</w:t>
                          </w:r>
                          <w:r w:rsidR="00D450DA">
                            <w:t xml:space="preserve">), </w:t>
                          </w:r>
                          <w:r w:rsidR="00210280">
                            <w:t>1</w:t>
                          </w:r>
                          <w:r w:rsidR="00D450DA">
                            <w:t>-</w:t>
                          </w:r>
                          <w:r w:rsidR="00210280">
                            <w:t>12</w:t>
                          </w:r>
                          <w:r w:rsidR="00D450DA">
                            <w:t>.</w:t>
                          </w:r>
                        </w:p>
                        <w:p w14:paraId="7430FF54" w14:textId="586B13E3" w:rsidR="00D450DA" w:rsidRDefault="00D450DA" w:rsidP="00D450DA">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E0801C" id="_x0000_t202" coordsize="21600,21600" o:spt="202" path="m,l,21600r21600,l21600,xe">
              <v:stroke joinstyle="miter"/>
              <v:path gradientshapeok="t" o:connecttype="rect"/>
            </v:shapetype>
            <v:shape id="Metin Kutusu 2" o:spid="_x0000_s1029" type="#_x0000_t202" style="position:absolute;margin-left:-4.25pt;margin-top:-11.45pt;width:459.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" filled="f" strokecolor="black [3213]">
              <v:textbox style="mso-fit-shape-to-text:t">
                <w:txbxContent>
                  <w:p w14:paraId="045E0747" w14:textId="287AE63C" w:rsidR="00D450DA" w:rsidRDefault="00045ACF" w:rsidP="00D450DA">
                    <w:pPr>
                      <w:pStyle w:val="AltBilgi"/>
                      <w:jc w:val="both"/>
                    </w:pPr>
                    <w:r>
                      <w:t>B</w:t>
                    </w:r>
                    <w:r w:rsidR="00750C41">
                      <w:t>, A</w:t>
                    </w:r>
                    <w:r w:rsidR="00131177">
                      <w:t xml:space="preserve">., </w:t>
                    </w:r>
                    <w:r>
                      <w:t>D</w:t>
                    </w:r>
                    <w:r w:rsidR="00131177">
                      <w:t xml:space="preserve">, </w:t>
                    </w:r>
                    <w:r w:rsidR="002B11A1">
                      <w:t>M</w:t>
                    </w:r>
                    <w:r w:rsidR="00131177">
                      <w:t xml:space="preserve">. &amp; </w:t>
                    </w:r>
                    <w:r>
                      <w:t>F</w:t>
                    </w:r>
                    <w:r w:rsidR="00131177">
                      <w:t xml:space="preserve">, </w:t>
                    </w:r>
                    <w:r w:rsidR="002B11A1">
                      <w:t>K</w:t>
                    </w:r>
                    <w:r w:rsidR="00131177">
                      <w:t>.</w:t>
                    </w:r>
                    <w:r w:rsidR="00D450DA">
                      <w:t xml:space="preserve"> (2024). </w:t>
                    </w:r>
                    <w:r w:rsidR="002B11A1" w:rsidRPr="002B11A1">
                      <w:t>Bankacılık Sektöründe Performans Analizi: Türk Bankalarından Kanıtlar</w:t>
                    </w:r>
                    <w:r w:rsidR="00FA35B0">
                      <w:t>.</w:t>
                    </w:r>
                    <w:r w:rsidR="00D450DA">
                      <w:t xml:space="preserve"> 4 Eylül Akademi Dergisi, 1(</w:t>
                    </w:r>
                    <w:r w:rsidR="00210280">
                      <w:t>1</w:t>
                    </w:r>
                    <w:r w:rsidR="00D450DA">
                      <w:t xml:space="preserve">), </w:t>
                    </w:r>
                    <w:r w:rsidR="00210280">
                      <w:t>1</w:t>
                    </w:r>
                    <w:r w:rsidR="00D450DA">
                      <w:t>-</w:t>
                    </w:r>
                    <w:r w:rsidR="00210280">
                      <w:t>12</w:t>
                    </w:r>
                    <w:r w:rsidR="00D450DA">
                      <w:t>.</w:t>
                    </w:r>
                  </w:p>
                  <w:p w14:paraId="7430FF54" w14:textId="586B13E3" w:rsidR="00D450DA" w:rsidRDefault="00D450DA" w:rsidP="00D450DA">
                    <w:pPr>
                      <w:jc w:val="both"/>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647D5" w14:textId="77777777" w:rsidR="000808EB" w:rsidRPr="00CD629D" w:rsidRDefault="000808EB" w:rsidP="002B2B92">
      <w:r w:rsidRPr="00CD629D">
        <w:separator/>
      </w:r>
    </w:p>
  </w:footnote>
  <w:footnote w:type="continuationSeparator" w:id="0">
    <w:p w14:paraId="14B8E253" w14:textId="77777777" w:rsidR="000808EB" w:rsidRPr="00CD629D" w:rsidRDefault="000808EB" w:rsidP="002B2B92">
      <w:r w:rsidRPr="00CD629D">
        <w:continuationSeparator/>
      </w:r>
    </w:p>
  </w:footnote>
  <w:footnote w:id="1">
    <w:p w14:paraId="5B4D22D6" w14:textId="283C0ADD" w:rsidR="003E39BF" w:rsidRPr="0018381B" w:rsidRDefault="003E39BF">
      <w:pPr>
        <w:pStyle w:val="DipnotMetni"/>
        <w:rPr>
          <w:highlight w:val="yellow"/>
        </w:rPr>
      </w:pPr>
      <w:r w:rsidRPr="0018381B">
        <w:rPr>
          <w:rStyle w:val="DipnotBavurusu"/>
          <w:highlight w:val="yellow"/>
        </w:rPr>
        <w:footnoteRef/>
      </w:r>
      <w:r w:rsidRPr="0018381B">
        <w:rPr>
          <w:highlight w:val="yellow"/>
        </w:rPr>
        <w:t xml:space="preserve"> </w:t>
      </w:r>
      <w:r w:rsidR="00DF2EAA" w:rsidRPr="0018381B">
        <w:rPr>
          <w:highlight w:val="yellow"/>
        </w:rPr>
        <w:t xml:space="preserve">Dr. Öğr. Üyesi, </w:t>
      </w:r>
      <w:r w:rsidR="00FB1377">
        <w:rPr>
          <w:highlight w:val="yellow"/>
        </w:rPr>
        <w:t>Atatürk</w:t>
      </w:r>
      <w:r w:rsidR="00DF2EAA" w:rsidRPr="0018381B">
        <w:rPr>
          <w:highlight w:val="yellow"/>
        </w:rPr>
        <w:t xml:space="preserve"> Üniversitesi, Konya, Türkiye, </w:t>
      </w:r>
      <w:r w:rsidR="00BF224F">
        <w:rPr>
          <w:highlight w:val="yellow"/>
        </w:rPr>
        <w:t>ali</w:t>
      </w:r>
      <w:r w:rsidR="00C6615D" w:rsidRPr="0018381B">
        <w:rPr>
          <w:highlight w:val="yellow"/>
        </w:rPr>
        <w:t>@gmail.com</w:t>
      </w:r>
    </w:p>
  </w:footnote>
  <w:footnote w:id="2">
    <w:p w14:paraId="18757C51" w14:textId="1DF0937F" w:rsidR="00691AAB" w:rsidRPr="0018381B" w:rsidRDefault="00691AAB" w:rsidP="00691AAB">
      <w:pPr>
        <w:pStyle w:val="DipnotMetni"/>
        <w:rPr>
          <w:highlight w:val="yellow"/>
        </w:rPr>
      </w:pPr>
      <w:r w:rsidRPr="0018381B">
        <w:rPr>
          <w:rStyle w:val="DipnotBavurusu"/>
          <w:highlight w:val="yellow"/>
        </w:rPr>
        <w:footnoteRef/>
      </w:r>
      <w:r w:rsidRPr="0018381B">
        <w:rPr>
          <w:highlight w:val="yellow"/>
        </w:rPr>
        <w:t xml:space="preserve"> Dr. Öğr. Üyesi, </w:t>
      </w:r>
      <w:r w:rsidR="00BF224F">
        <w:rPr>
          <w:highlight w:val="yellow"/>
        </w:rPr>
        <w:t>Sivas Cumhuriyet</w:t>
      </w:r>
      <w:r w:rsidRPr="0018381B">
        <w:rPr>
          <w:highlight w:val="yellow"/>
        </w:rPr>
        <w:t xml:space="preserve"> Üniversitesi, Konya, Türkiye, </w:t>
      </w:r>
      <w:r w:rsidR="00BF224F">
        <w:rPr>
          <w:highlight w:val="yellow"/>
        </w:rPr>
        <w:t>mehmet</w:t>
      </w:r>
      <w:r w:rsidRPr="0018381B">
        <w:rPr>
          <w:highlight w:val="yellow"/>
        </w:rPr>
        <w:t>@gmail.com</w:t>
      </w:r>
    </w:p>
  </w:footnote>
  <w:footnote w:id="3">
    <w:p w14:paraId="6995A10A" w14:textId="1A7B5504" w:rsidR="00691AAB" w:rsidRPr="003E39BF" w:rsidRDefault="00691AAB" w:rsidP="00691AAB">
      <w:pPr>
        <w:pStyle w:val="DipnotMetni"/>
      </w:pPr>
      <w:r w:rsidRPr="0018381B">
        <w:rPr>
          <w:rStyle w:val="DipnotBavurusu"/>
          <w:highlight w:val="yellow"/>
        </w:rPr>
        <w:footnoteRef/>
      </w:r>
      <w:r w:rsidRPr="0018381B">
        <w:rPr>
          <w:highlight w:val="yellow"/>
        </w:rPr>
        <w:t xml:space="preserve"> Dr. Öğr. Üyesi, Selçuk Üniversitesi, Konya, Türkiye, </w:t>
      </w:r>
      <w:r w:rsidR="00BF224F">
        <w:rPr>
          <w:highlight w:val="yellow"/>
        </w:rPr>
        <w:t>kemal</w:t>
      </w:r>
      <w:r w:rsidRPr="0018381B">
        <w:rPr>
          <w:highlight w:val="yellow"/>
        </w:rPr>
        <w:t>@</w:t>
      </w:r>
      <w:r w:rsidR="00BF224F">
        <w:rPr>
          <w:highlight w:val="yellow"/>
        </w:rPr>
        <w:t>selcuk.edu.tr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A940F" w14:textId="5553D498" w:rsidR="00DF2EAA" w:rsidRPr="00CD629D" w:rsidRDefault="00DF2EAA" w:rsidP="00DF2EAA">
    <w:pPr>
      <w:pStyle w:val="KonuBal"/>
      <w:spacing w:line="266" w:lineRule="auto"/>
      <w:ind w:left="0" w:right="4"/>
      <w:jc w:val="both"/>
      <w:rPr>
        <w:w w:val="115"/>
        <w:sz w:val="20"/>
        <w:szCs w:val="20"/>
      </w:rPr>
    </w:pPr>
    <w:r w:rsidRPr="00CD629D">
      <w:rPr>
        <w:w w:val="115"/>
        <w:sz w:val="20"/>
        <w:szCs w:val="20"/>
      </w:rPr>
      <w:t xml:space="preserve"> </w:t>
    </w:r>
  </w:p>
  <w:p w14:paraId="502FEB81" w14:textId="4D562FBA" w:rsidR="00DF2EAA" w:rsidRPr="00CD629D" w:rsidRDefault="00DF2EAA">
    <w:pPr>
      <w:pStyle w:val="stBilgi"/>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5620"/>
    <w:multiLevelType w:val="multilevel"/>
    <w:tmpl w:val="A9EC2EF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0AB05BB"/>
    <w:multiLevelType w:val="multilevel"/>
    <w:tmpl w:val="8CEA842E"/>
    <w:lvl w:ilvl="0">
      <w:start w:val="1"/>
      <w:numFmt w:val="decimal"/>
      <w:lvlText w:val="%1"/>
      <w:lvlJc w:val="left"/>
      <w:pPr>
        <w:ind w:left="507" w:hanging="355"/>
      </w:pPr>
      <w:rPr>
        <w:rFonts w:ascii="Times New Roman" w:eastAsia="Times New Roman" w:hAnsi="Times New Roman" w:cs="Times New Roman" w:hint="default"/>
        <w:b w:val="0"/>
        <w:bCs w:val="0"/>
        <w:i w:val="0"/>
        <w:iCs w:val="0"/>
        <w:spacing w:val="0"/>
        <w:w w:val="97"/>
        <w:sz w:val="24"/>
        <w:szCs w:val="24"/>
        <w:lang w:val="en-US" w:eastAsia="en-US" w:bidi="ar-SA"/>
      </w:rPr>
    </w:lvl>
    <w:lvl w:ilvl="1">
      <w:start w:val="1"/>
      <w:numFmt w:val="decimal"/>
      <w:lvlText w:val="%1.%2"/>
      <w:lvlJc w:val="left"/>
      <w:pPr>
        <w:ind w:left="152" w:hanging="536"/>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424" w:hanging="536"/>
      </w:pPr>
      <w:rPr>
        <w:rFonts w:hint="default"/>
        <w:lang w:val="en-US" w:eastAsia="en-US" w:bidi="ar-SA"/>
      </w:rPr>
    </w:lvl>
    <w:lvl w:ilvl="3">
      <w:numFmt w:val="bullet"/>
      <w:lvlText w:val="•"/>
      <w:lvlJc w:val="left"/>
      <w:pPr>
        <w:ind w:left="349" w:hanging="536"/>
      </w:pPr>
      <w:rPr>
        <w:rFonts w:hint="default"/>
        <w:lang w:val="en-US" w:eastAsia="en-US" w:bidi="ar-SA"/>
      </w:rPr>
    </w:lvl>
    <w:lvl w:ilvl="4">
      <w:numFmt w:val="bullet"/>
      <w:lvlText w:val="•"/>
      <w:lvlJc w:val="left"/>
      <w:pPr>
        <w:ind w:left="274" w:hanging="536"/>
      </w:pPr>
      <w:rPr>
        <w:rFonts w:hint="default"/>
        <w:lang w:val="en-US" w:eastAsia="en-US" w:bidi="ar-SA"/>
      </w:rPr>
    </w:lvl>
    <w:lvl w:ilvl="5">
      <w:numFmt w:val="bullet"/>
      <w:lvlText w:val="•"/>
      <w:lvlJc w:val="left"/>
      <w:pPr>
        <w:ind w:left="199" w:hanging="536"/>
      </w:pPr>
      <w:rPr>
        <w:rFonts w:hint="default"/>
        <w:lang w:val="en-US" w:eastAsia="en-US" w:bidi="ar-SA"/>
      </w:rPr>
    </w:lvl>
    <w:lvl w:ilvl="6">
      <w:numFmt w:val="bullet"/>
      <w:lvlText w:val="•"/>
      <w:lvlJc w:val="left"/>
      <w:pPr>
        <w:ind w:left="124" w:hanging="536"/>
      </w:pPr>
      <w:rPr>
        <w:rFonts w:hint="default"/>
        <w:lang w:val="en-US" w:eastAsia="en-US" w:bidi="ar-SA"/>
      </w:rPr>
    </w:lvl>
    <w:lvl w:ilvl="7">
      <w:numFmt w:val="bullet"/>
      <w:lvlText w:val="•"/>
      <w:lvlJc w:val="left"/>
      <w:pPr>
        <w:ind w:left="49" w:hanging="536"/>
      </w:pPr>
      <w:rPr>
        <w:rFonts w:hint="default"/>
        <w:lang w:val="en-US" w:eastAsia="en-US" w:bidi="ar-SA"/>
      </w:rPr>
    </w:lvl>
    <w:lvl w:ilvl="8">
      <w:numFmt w:val="bullet"/>
      <w:lvlText w:val="•"/>
      <w:lvlJc w:val="left"/>
      <w:pPr>
        <w:ind w:left="-26" w:hanging="536"/>
      </w:pPr>
      <w:rPr>
        <w:rFonts w:hint="default"/>
        <w:lang w:val="en-US" w:eastAsia="en-US" w:bidi="ar-SA"/>
      </w:rPr>
    </w:lvl>
  </w:abstractNum>
  <w:abstractNum w:abstractNumId="2" w15:restartNumberingAfterBreak="0">
    <w:nsid w:val="7E8C24D6"/>
    <w:multiLevelType w:val="multilevel"/>
    <w:tmpl w:val="CD28E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74021545">
    <w:abstractNumId w:val="1"/>
  </w:num>
  <w:num w:numId="2" w16cid:durableId="1137994126">
    <w:abstractNumId w:val="2"/>
  </w:num>
  <w:num w:numId="3" w16cid:durableId="120822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40465"/>
    <w:rsid w:val="000358FE"/>
    <w:rsid w:val="00040D2C"/>
    <w:rsid w:val="00045ACF"/>
    <w:rsid w:val="00057EAB"/>
    <w:rsid w:val="000808EB"/>
    <w:rsid w:val="000866BA"/>
    <w:rsid w:val="000A70FA"/>
    <w:rsid w:val="000B058E"/>
    <w:rsid w:val="000B24F0"/>
    <w:rsid w:val="000C7B94"/>
    <w:rsid w:val="000D512D"/>
    <w:rsid w:val="000E1CFB"/>
    <w:rsid w:val="000F7269"/>
    <w:rsid w:val="00126D81"/>
    <w:rsid w:val="001308C6"/>
    <w:rsid w:val="00131177"/>
    <w:rsid w:val="00154214"/>
    <w:rsid w:val="00161BF6"/>
    <w:rsid w:val="001667FF"/>
    <w:rsid w:val="0018381B"/>
    <w:rsid w:val="00184BA9"/>
    <w:rsid w:val="001A27EE"/>
    <w:rsid w:val="001A5796"/>
    <w:rsid w:val="001C4345"/>
    <w:rsid w:val="001D666C"/>
    <w:rsid w:val="001F5F9D"/>
    <w:rsid w:val="00210280"/>
    <w:rsid w:val="00213C6C"/>
    <w:rsid w:val="00272689"/>
    <w:rsid w:val="00291211"/>
    <w:rsid w:val="002B11A1"/>
    <w:rsid w:val="002B2B92"/>
    <w:rsid w:val="002C3AD7"/>
    <w:rsid w:val="002C48E7"/>
    <w:rsid w:val="002D1F76"/>
    <w:rsid w:val="002D675D"/>
    <w:rsid w:val="002E16F9"/>
    <w:rsid w:val="002F5039"/>
    <w:rsid w:val="002F588B"/>
    <w:rsid w:val="0030112A"/>
    <w:rsid w:val="0030148B"/>
    <w:rsid w:val="00304488"/>
    <w:rsid w:val="0031342C"/>
    <w:rsid w:val="003175E4"/>
    <w:rsid w:val="00321DDE"/>
    <w:rsid w:val="00332CEF"/>
    <w:rsid w:val="003367C7"/>
    <w:rsid w:val="00343EB1"/>
    <w:rsid w:val="00370AE6"/>
    <w:rsid w:val="003761FD"/>
    <w:rsid w:val="003A14A8"/>
    <w:rsid w:val="003D66C0"/>
    <w:rsid w:val="003E39BF"/>
    <w:rsid w:val="003E4894"/>
    <w:rsid w:val="00402B76"/>
    <w:rsid w:val="004273B7"/>
    <w:rsid w:val="00471261"/>
    <w:rsid w:val="004A7DF6"/>
    <w:rsid w:val="004D6D6D"/>
    <w:rsid w:val="004D7A15"/>
    <w:rsid w:val="004F05FF"/>
    <w:rsid w:val="00515EAE"/>
    <w:rsid w:val="00525C80"/>
    <w:rsid w:val="0055681C"/>
    <w:rsid w:val="005869AC"/>
    <w:rsid w:val="005A22C2"/>
    <w:rsid w:val="005A6DAD"/>
    <w:rsid w:val="005C68D8"/>
    <w:rsid w:val="00611752"/>
    <w:rsid w:val="006151D9"/>
    <w:rsid w:val="00621B8E"/>
    <w:rsid w:val="006810A0"/>
    <w:rsid w:val="00691AAB"/>
    <w:rsid w:val="006A52E0"/>
    <w:rsid w:val="006D3DE5"/>
    <w:rsid w:val="00703E95"/>
    <w:rsid w:val="00712D57"/>
    <w:rsid w:val="00750C41"/>
    <w:rsid w:val="00762B75"/>
    <w:rsid w:val="007B7574"/>
    <w:rsid w:val="007E520D"/>
    <w:rsid w:val="007E553D"/>
    <w:rsid w:val="007E5559"/>
    <w:rsid w:val="008028BD"/>
    <w:rsid w:val="008075AC"/>
    <w:rsid w:val="00827822"/>
    <w:rsid w:val="0087194F"/>
    <w:rsid w:val="00873B87"/>
    <w:rsid w:val="00880794"/>
    <w:rsid w:val="008A05EF"/>
    <w:rsid w:val="008D30F4"/>
    <w:rsid w:val="008D5094"/>
    <w:rsid w:val="008E2D8E"/>
    <w:rsid w:val="008E467F"/>
    <w:rsid w:val="008F0E59"/>
    <w:rsid w:val="008F67FE"/>
    <w:rsid w:val="009057E1"/>
    <w:rsid w:val="00924575"/>
    <w:rsid w:val="00947751"/>
    <w:rsid w:val="00952267"/>
    <w:rsid w:val="009B57F8"/>
    <w:rsid w:val="009D3494"/>
    <w:rsid w:val="009E03FA"/>
    <w:rsid w:val="009F3684"/>
    <w:rsid w:val="00A0281F"/>
    <w:rsid w:val="00A2551C"/>
    <w:rsid w:val="00A30213"/>
    <w:rsid w:val="00A42EB9"/>
    <w:rsid w:val="00A458EB"/>
    <w:rsid w:val="00A62D74"/>
    <w:rsid w:val="00AB117D"/>
    <w:rsid w:val="00AC7FC3"/>
    <w:rsid w:val="00AE6AA2"/>
    <w:rsid w:val="00B30069"/>
    <w:rsid w:val="00B30D70"/>
    <w:rsid w:val="00B456C9"/>
    <w:rsid w:val="00B63020"/>
    <w:rsid w:val="00B81BC0"/>
    <w:rsid w:val="00B935DC"/>
    <w:rsid w:val="00BB293F"/>
    <w:rsid w:val="00BC0C07"/>
    <w:rsid w:val="00BF224F"/>
    <w:rsid w:val="00C12C4A"/>
    <w:rsid w:val="00C63535"/>
    <w:rsid w:val="00C6615D"/>
    <w:rsid w:val="00C664DE"/>
    <w:rsid w:val="00C67B41"/>
    <w:rsid w:val="00C960D0"/>
    <w:rsid w:val="00CD629D"/>
    <w:rsid w:val="00D3468A"/>
    <w:rsid w:val="00D4024B"/>
    <w:rsid w:val="00D450DA"/>
    <w:rsid w:val="00D4588A"/>
    <w:rsid w:val="00D5045D"/>
    <w:rsid w:val="00D708EF"/>
    <w:rsid w:val="00D71D95"/>
    <w:rsid w:val="00D96970"/>
    <w:rsid w:val="00DA1822"/>
    <w:rsid w:val="00DA4C81"/>
    <w:rsid w:val="00DC7746"/>
    <w:rsid w:val="00DE3837"/>
    <w:rsid w:val="00DF2EAA"/>
    <w:rsid w:val="00E02A2A"/>
    <w:rsid w:val="00E046D8"/>
    <w:rsid w:val="00E11BFD"/>
    <w:rsid w:val="00E93C1F"/>
    <w:rsid w:val="00ED0C5F"/>
    <w:rsid w:val="00EF44FB"/>
    <w:rsid w:val="00F06E86"/>
    <w:rsid w:val="00F236AF"/>
    <w:rsid w:val="00F40465"/>
    <w:rsid w:val="00F418F4"/>
    <w:rsid w:val="00F42244"/>
    <w:rsid w:val="00F45D16"/>
    <w:rsid w:val="00F701E5"/>
    <w:rsid w:val="00F77A51"/>
    <w:rsid w:val="00FA35B0"/>
    <w:rsid w:val="00FB0B45"/>
    <w:rsid w:val="00FB1377"/>
    <w:rsid w:val="00FF27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7BF30"/>
  <w15:docId w15:val="{137EEE1F-3C57-41CD-96FD-33EDAA40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507" w:hanging="355"/>
      <w:outlineLvl w:val="0"/>
    </w:pPr>
    <w:rPr>
      <w:sz w:val="24"/>
      <w:szCs w:val="24"/>
    </w:rPr>
  </w:style>
  <w:style w:type="paragraph" w:styleId="Balk2">
    <w:name w:val="heading 2"/>
    <w:basedOn w:val="Normal"/>
    <w:uiPriority w:val="9"/>
    <w:unhideWhenUsed/>
    <w:qFormat/>
    <w:pPr>
      <w:ind w:left="152" w:hanging="535"/>
      <w:outlineLvl w:val="1"/>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0"/>
    <w:qFormat/>
    <w:pPr>
      <w:ind w:left="152" w:right="1055"/>
    </w:pPr>
    <w:rPr>
      <w:sz w:val="36"/>
      <w:szCs w:val="36"/>
    </w:rPr>
  </w:style>
  <w:style w:type="paragraph" w:styleId="ListeParagraf">
    <w:name w:val="List Paragraph"/>
    <w:basedOn w:val="Normal"/>
    <w:uiPriority w:val="34"/>
    <w:qFormat/>
    <w:pPr>
      <w:ind w:left="507" w:hanging="355"/>
    </w:pPr>
  </w:style>
  <w:style w:type="paragraph" w:customStyle="1" w:styleId="TableParagraph">
    <w:name w:val="Table Paragraph"/>
    <w:basedOn w:val="Normal"/>
    <w:uiPriority w:val="1"/>
    <w:qFormat/>
    <w:pPr>
      <w:spacing w:before="56"/>
    </w:pPr>
  </w:style>
  <w:style w:type="paragraph" w:styleId="DipnotMetni">
    <w:name w:val="footnote text"/>
    <w:basedOn w:val="Normal"/>
    <w:link w:val="DipnotMetniChar"/>
    <w:uiPriority w:val="99"/>
    <w:semiHidden/>
    <w:unhideWhenUsed/>
    <w:rsid w:val="002B2B92"/>
    <w:rPr>
      <w:sz w:val="20"/>
      <w:szCs w:val="20"/>
    </w:rPr>
  </w:style>
  <w:style w:type="character" w:customStyle="1" w:styleId="DipnotMetniChar">
    <w:name w:val="Dipnot Metni Char"/>
    <w:basedOn w:val="VarsaylanParagrafYazTipi"/>
    <w:link w:val="DipnotMetni"/>
    <w:uiPriority w:val="99"/>
    <w:semiHidden/>
    <w:rsid w:val="002B2B92"/>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2B2B92"/>
    <w:rPr>
      <w:vertAlign w:val="superscript"/>
    </w:rPr>
  </w:style>
  <w:style w:type="character" w:styleId="Kpr">
    <w:name w:val="Hyperlink"/>
    <w:basedOn w:val="VarsaylanParagrafYazTipi"/>
    <w:uiPriority w:val="99"/>
    <w:unhideWhenUsed/>
    <w:rsid w:val="008F0E59"/>
    <w:rPr>
      <w:color w:val="0000FF" w:themeColor="hyperlink"/>
      <w:u w:val="single"/>
    </w:rPr>
  </w:style>
  <w:style w:type="character" w:styleId="zmlenmeyenBahsetme">
    <w:name w:val="Unresolved Mention"/>
    <w:basedOn w:val="VarsaylanParagrafYazTipi"/>
    <w:uiPriority w:val="99"/>
    <w:semiHidden/>
    <w:unhideWhenUsed/>
    <w:rsid w:val="008F0E59"/>
    <w:rPr>
      <w:color w:val="605E5C"/>
      <w:shd w:val="clear" w:color="auto" w:fill="E1DFDD"/>
    </w:rPr>
  </w:style>
  <w:style w:type="character" w:styleId="zlenenKpr">
    <w:name w:val="FollowedHyperlink"/>
    <w:basedOn w:val="VarsaylanParagrafYazTipi"/>
    <w:uiPriority w:val="99"/>
    <w:semiHidden/>
    <w:unhideWhenUsed/>
    <w:rsid w:val="008F0E59"/>
    <w:rPr>
      <w:color w:val="800080" w:themeColor="followedHyperlink"/>
      <w:u w:val="single"/>
    </w:rPr>
  </w:style>
  <w:style w:type="paragraph" w:styleId="stBilgi">
    <w:name w:val="header"/>
    <w:basedOn w:val="Normal"/>
    <w:link w:val="stBilgiChar"/>
    <w:uiPriority w:val="99"/>
    <w:unhideWhenUsed/>
    <w:rsid w:val="00AB117D"/>
    <w:pPr>
      <w:tabs>
        <w:tab w:val="center" w:pos="4703"/>
        <w:tab w:val="right" w:pos="9406"/>
      </w:tabs>
    </w:pPr>
  </w:style>
  <w:style w:type="character" w:customStyle="1" w:styleId="stBilgiChar">
    <w:name w:val="Üst Bilgi Char"/>
    <w:basedOn w:val="VarsaylanParagrafYazTipi"/>
    <w:link w:val="stBilgi"/>
    <w:uiPriority w:val="99"/>
    <w:rsid w:val="00AB117D"/>
    <w:rPr>
      <w:rFonts w:ascii="Times New Roman" w:eastAsia="Times New Roman" w:hAnsi="Times New Roman" w:cs="Times New Roman"/>
    </w:rPr>
  </w:style>
  <w:style w:type="paragraph" w:styleId="AltBilgi">
    <w:name w:val="footer"/>
    <w:basedOn w:val="Normal"/>
    <w:link w:val="AltBilgiChar"/>
    <w:uiPriority w:val="99"/>
    <w:unhideWhenUsed/>
    <w:rsid w:val="00AB117D"/>
    <w:pPr>
      <w:tabs>
        <w:tab w:val="center" w:pos="4703"/>
        <w:tab w:val="right" w:pos="9406"/>
      </w:tabs>
    </w:pPr>
  </w:style>
  <w:style w:type="character" w:customStyle="1" w:styleId="AltBilgiChar">
    <w:name w:val="Alt Bilgi Char"/>
    <w:basedOn w:val="VarsaylanParagrafYazTipi"/>
    <w:link w:val="AltBilgi"/>
    <w:uiPriority w:val="99"/>
    <w:rsid w:val="00AB117D"/>
    <w:rPr>
      <w:rFonts w:ascii="Times New Roman" w:eastAsia="Times New Roman" w:hAnsi="Times New Roman" w:cs="Times New Roman"/>
    </w:rPr>
  </w:style>
  <w:style w:type="table" w:styleId="TabloKlavuzu">
    <w:name w:val="Table Grid"/>
    <w:basedOn w:val="NormalTablo"/>
    <w:uiPriority w:val="39"/>
    <w:rsid w:val="00D3468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3468A"/>
    <w:pPr>
      <w:widowControl/>
      <w:autoSpaceDE/>
      <w:autoSpaceDN/>
    </w:pPr>
    <w:rPr>
      <w:rFonts w:ascii="Tahoma" w:eastAsiaTheme="minorHAnsi" w:hAnsi="Tahoma" w:cs="Tahoma"/>
      <w:sz w:val="16"/>
      <w:szCs w:val="16"/>
      <w:lang w:val="en-GB"/>
    </w:rPr>
  </w:style>
  <w:style w:type="character" w:customStyle="1" w:styleId="BalonMetniChar">
    <w:name w:val="Balon Metni Char"/>
    <w:basedOn w:val="VarsaylanParagrafYazTipi"/>
    <w:link w:val="BalonMetni"/>
    <w:uiPriority w:val="99"/>
    <w:semiHidden/>
    <w:rsid w:val="00D3468A"/>
    <w:rPr>
      <w:rFonts w:ascii="Tahoma" w:hAnsi="Tahoma" w:cs="Tahoma"/>
      <w:sz w:val="16"/>
      <w:szCs w:val="16"/>
      <w:lang w:val="en-GB"/>
    </w:rPr>
  </w:style>
  <w:style w:type="paragraph" w:styleId="Kaynaka">
    <w:name w:val="Bibliography"/>
    <w:basedOn w:val="Normal"/>
    <w:next w:val="Normal"/>
    <w:uiPriority w:val="37"/>
    <w:semiHidden/>
    <w:unhideWhenUsed/>
    <w:rsid w:val="00D3468A"/>
    <w:pPr>
      <w:widowControl/>
      <w:autoSpaceDE/>
      <w:autoSpaceDN/>
      <w:spacing w:after="200" w:line="276" w:lineRule="auto"/>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696317">
      <w:bodyDiv w:val="1"/>
      <w:marLeft w:val="0"/>
      <w:marRight w:val="0"/>
      <w:marTop w:val="0"/>
      <w:marBottom w:val="0"/>
      <w:divBdr>
        <w:top w:val="none" w:sz="0" w:space="0" w:color="auto"/>
        <w:left w:val="none" w:sz="0" w:space="0" w:color="auto"/>
        <w:bottom w:val="none" w:sz="0" w:space="0" w:color="auto"/>
        <w:right w:val="none" w:sz="0" w:space="0" w:color="auto"/>
      </w:divBdr>
    </w:div>
    <w:div w:id="856385115">
      <w:bodyDiv w:val="1"/>
      <w:marLeft w:val="0"/>
      <w:marRight w:val="0"/>
      <w:marTop w:val="0"/>
      <w:marBottom w:val="0"/>
      <w:divBdr>
        <w:top w:val="none" w:sz="0" w:space="0" w:color="auto"/>
        <w:left w:val="none" w:sz="0" w:space="0" w:color="auto"/>
        <w:bottom w:val="none" w:sz="0" w:space="0" w:color="auto"/>
        <w:right w:val="none" w:sz="0" w:space="0" w:color="auto"/>
      </w:divBdr>
    </w:div>
    <w:div w:id="1432435378">
      <w:bodyDiv w:val="1"/>
      <w:marLeft w:val="0"/>
      <w:marRight w:val="0"/>
      <w:marTop w:val="0"/>
      <w:marBottom w:val="0"/>
      <w:divBdr>
        <w:top w:val="none" w:sz="0" w:space="0" w:color="auto"/>
        <w:left w:val="none" w:sz="0" w:space="0" w:color="auto"/>
        <w:bottom w:val="none" w:sz="0" w:space="0" w:color="auto"/>
        <w:right w:val="none" w:sz="0" w:space="0" w:color="auto"/>
      </w:divBdr>
    </w:div>
    <w:div w:id="1573395982">
      <w:bodyDiv w:val="1"/>
      <w:marLeft w:val="0"/>
      <w:marRight w:val="0"/>
      <w:marTop w:val="0"/>
      <w:marBottom w:val="0"/>
      <w:divBdr>
        <w:top w:val="none" w:sz="0" w:space="0" w:color="auto"/>
        <w:left w:val="none" w:sz="0" w:space="0" w:color="auto"/>
        <w:bottom w:val="none" w:sz="0" w:space="0" w:color="auto"/>
        <w:right w:val="none" w:sz="0" w:space="0" w:color="auto"/>
      </w:divBdr>
    </w:div>
    <w:div w:id="1594316340">
      <w:bodyDiv w:val="1"/>
      <w:marLeft w:val="0"/>
      <w:marRight w:val="0"/>
      <w:marTop w:val="0"/>
      <w:marBottom w:val="0"/>
      <w:divBdr>
        <w:top w:val="none" w:sz="0" w:space="0" w:color="auto"/>
        <w:left w:val="none" w:sz="0" w:space="0" w:color="auto"/>
        <w:bottom w:val="none" w:sz="0" w:space="0" w:color="auto"/>
        <w:right w:val="none" w:sz="0" w:space="0" w:color="auto"/>
      </w:divBdr>
    </w:div>
    <w:div w:id="1775398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580-205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C0C94-D489-4DE5-9980-D7780FA0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1262</Words>
  <Characters>7200</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The impact of cryptocurrency heists on Bitcoin's market efficiency</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cryptocurrency heists on Bitcoin's market efficiency</dc:title>
  <dc:subject>Int. J Fin Econ 0.0</dc:subject>
  <cp:lastModifiedBy>BURHAN ERDOĞAN</cp:lastModifiedBy>
  <cp:revision>143</cp:revision>
  <dcterms:created xsi:type="dcterms:W3CDTF">2024-09-29T10:06:00Z</dcterms:created>
  <dcterms:modified xsi:type="dcterms:W3CDTF">2024-09-30T16:45:00Z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Arbortext Advanced Print Publisher 9.1.520/W Unicode</vt:lpwstr>
  </property>
  <property fmtid="{D5CDD505-2E9C-101B-9397-08002B2CF9AE}" pid="4" name="LastSaved">
    <vt:filetime>2024-09-29T00:00:00Z</vt:filetime>
  </property>
  <property fmtid="{D5CDD505-2E9C-101B-9397-08002B2CF9AE}" pid="5" name="Producer">
    <vt:lpwstr>Acrobat Distiller 11.0 (Windows); modified using iText 4.2.0 by 1T3XT</vt:lpwstr>
  </property>
  <property fmtid="{D5CDD505-2E9C-101B-9397-08002B2CF9AE}" pid="6" name="WPS-ARTICLEDOI">
    <vt:lpwstr>10.1002/ijfe.3049</vt:lpwstr>
  </property>
  <property fmtid="{D5CDD505-2E9C-101B-9397-08002B2CF9AE}" pid="7" name="WPS-JOURNALDOI">
    <vt:lpwstr>10.1002/(ISSN)1099-1158</vt:lpwstr>
  </property>
  <property fmtid="{D5CDD505-2E9C-101B-9397-08002B2CF9AE}" pid="8" name="WPS-PROCLEVEL">
    <vt:lpwstr>3</vt:lpwstr>
  </property>
</Properties>
</file>